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F0" w:rsidRPr="002A33AE" w:rsidRDefault="00B01C92" w:rsidP="002F3F9D">
      <w:pPr>
        <w:spacing w:line="240" w:lineRule="auto"/>
        <w:jc w:val="center"/>
        <w:rPr>
          <w:rFonts w:ascii="Times New Roman" w:hAnsi="Times New Roman" w:cs="Times New Roman"/>
          <w:color w:val="0070C0"/>
          <w:sz w:val="24"/>
          <w:szCs w:val="24"/>
        </w:rPr>
      </w:pPr>
      <w:r w:rsidRPr="002A33AE">
        <w:rPr>
          <w:rFonts w:ascii="Times New Roman" w:hAnsi="Times New Roman" w:cs="Times New Roman"/>
          <w:color w:val="0070C0"/>
          <w:sz w:val="24"/>
          <w:szCs w:val="24"/>
        </w:rPr>
        <w:t>Министерство профессионального образования, подготовки и расстановки кадров Р</w:t>
      </w:r>
      <w:proofErr w:type="gramStart"/>
      <w:r w:rsidRPr="002A33AE">
        <w:rPr>
          <w:rFonts w:ascii="Times New Roman" w:hAnsi="Times New Roman" w:cs="Times New Roman"/>
          <w:color w:val="0070C0"/>
          <w:sz w:val="24"/>
          <w:szCs w:val="24"/>
        </w:rPr>
        <w:t>С(</w:t>
      </w:r>
      <w:proofErr w:type="gramEnd"/>
      <w:r w:rsidRPr="002A33AE">
        <w:rPr>
          <w:rFonts w:ascii="Times New Roman" w:hAnsi="Times New Roman" w:cs="Times New Roman"/>
          <w:color w:val="0070C0"/>
          <w:sz w:val="24"/>
          <w:szCs w:val="24"/>
        </w:rPr>
        <w:t>Я)</w:t>
      </w:r>
    </w:p>
    <w:p w:rsidR="00B01C92" w:rsidRPr="002A33AE" w:rsidRDefault="00B01C92" w:rsidP="002F3F9D">
      <w:pPr>
        <w:spacing w:line="240" w:lineRule="auto"/>
        <w:jc w:val="center"/>
        <w:rPr>
          <w:rFonts w:ascii="Times New Roman" w:hAnsi="Times New Roman" w:cs="Times New Roman"/>
          <w:color w:val="0070C0"/>
          <w:sz w:val="24"/>
          <w:szCs w:val="24"/>
        </w:rPr>
      </w:pPr>
      <w:r w:rsidRPr="002A33AE">
        <w:rPr>
          <w:rFonts w:ascii="Times New Roman" w:hAnsi="Times New Roman" w:cs="Times New Roman"/>
          <w:color w:val="0070C0"/>
          <w:sz w:val="24"/>
          <w:szCs w:val="24"/>
        </w:rPr>
        <w:t>ГБОУ Р</w:t>
      </w:r>
      <w:proofErr w:type="gramStart"/>
      <w:r w:rsidRPr="002A33AE">
        <w:rPr>
          <w:rFonts w:ascii="Times New Roman" w:hAnsi="Times New Roman" w:cs="Times New Roman"/>
          <w:color w:val="0070C0"/>
          <w:sz w:val="24"/>
          <w:szCs w:val="24"/>
        </w:rPr>
        <w:t>С(</w:t>
      </w:r>
      <w:proofErr w:type="gramEnd"/>
      <w:r w:rsidRPr="002A33AE">
        <w:rPr>
          <w:rFonts w:ascii="Times New Roman" w:hAnsi="Times New Roman" w:cs="Times New Roman"/>
          <w:color w:val="0070C0"/>
          <w:sz w:val="24"/>
          <w:szCs w:val="24"/>
        </w:rPr>
        <w:t>Я) «</w:t>
      </w:r>
      <w:proofErr w:type="spellStart"/>
      <w:r w:rsidRPr="002A33AE">
        <w:rPr>
          <w:rFonts w:ascii="Times New Roman" w:hAnsi="Times New Roman" w:cs="Times New Roman"/>
          <w:color w:val="0070C0"/>
          <w:sz w:val="24"/>
          <w:szCs w:val="24"/>
        </w:rPr>
        <w:t>Нюрбинский</w:t>
      </w:r>
      <w:proofErr w:type="spellEnd"/>
      <w:r w:rsidRPr="002A33AE">
        <w:rPr>
          <w:rFonts w:ascii="Times New Roman" w:hAnsi="Times New Roman" w:cs="Times New Roman"/>
          <w:color w:val="0070C0"/>
          <w:sz w:val="24"/>
          <w:szCs w:val="24"/>
        </w:rPr>
        <w:t xml:space="preserve"> колледж»</w:t>
      </w:r>
    </w:p>
    <w:p w:rsidR="00B01C92" w:rsidRPr="002A33AE" w:rsidRDefault="00B01C92" w:rsidP="002F3F9D">
      <w:pPr>
        <w:spacing w:line="240" w:lineRule="auto"/>
        <w:jc w:val="center"/>
        <w:rPr>
          <w:rFonts w:ascii="Times New Roman" w:hAnsi="Times New Roman" w:cs="Times New Roman"/>
          <w:color w:val="0070C0"/>
          <w:sz w:val="24"/>
          <w:szCs w:val="24"/>
        </w:rPr>
      </w:pPr>
    </w:p>
    <w:p w:rsidR="00B01C92" w:rsidRPr="002A33AE" w:rsidRDefault="00B01C92" w:rsidP="002F3F9D">
      <w:pPr>
        <w:spacing w:line="240" w:lineRule="auto"/>
        <w:jc w:val="center"/>
        <w:rPr>
          <w:rFonts w:ascii="Times New Roman" w:hAnsi="Times New Roman" w:cs="Times New Roman"/>
          <w:color w:val="0070C0"/>
          <w:sz w:val="24"/>
          <w:szCs w:val="24"/>
        </w:rPr>
      </w:pPr>
    </w:p>
    <w:p w:rsidR="00B01C92" w:rsidRPr="002A33AE" w:rsidRDefault="00B01C92" w:rsidP="002F3F9D">
      <w:pPr>
        <w:spacing w:line="240" w:lineRule="auto"/>
        <w:jc w:val="center"/>
        <w:rPr>
          <w:rFonts w:ascii="Times New Roman" w:hAnsi="Times New Roman" w:cs="Times New Roman"/>
          <w:color w:val="0070C0"/>
          <w:sz w:val="24"/>
          <w:szCs w:val="24"/>
        </w:rPr>
      </w:pPr>
    </w:p>
    <w:p w:rsidR="00B01C92" w:rsidRPr="002A33AE" w:rsidRDefault="00B01C92" w:rsidP="002F3F9D">
      <w:pPr>
        <w:spacing w:line="240" w:lineRule="auto"/>
        <w:jc w:val="center"/>
        <w:rPr>
          <w:rFonts w:ascii="Times New Roman" w:hAnsi="Times New Roman" w:cs="Times New Roman"/>
          <w:color w:val="0070C0"/>
          <w:sz w:val="24"/>
          <w:szCs w:val="24"/>
        </w:rPr>
      </w:pPr>
    </w:p>
    <w:p w:rsidR="00B01C92" w:rsidRPr="002A33AE" w:rsidRDefault="00B01C92" w:rsidP="002F3F9D">
      <w:pPr>
        <w:spacing w:line="240" w:lineRule="auto"/>
        <w:jc w:val="center"/>
        <w:rPr>
          <w:rFonts w:ascii="Times New Roman" w:hAnsi="Times New Roman" w:cs="Times New Roman"/>
          <w:color w:val="0070C0"/>
          <w:sz w:val="24"/>
          <w:szCs w:val="24"/>
        </w:rPr>
      </w:pPr>
    </w:p>
    <w:p w:rsidR="00B01C92" w:rsidRPr="002A33AE" w:rsidRDefault="00B01C92" w:rsidP="002F3F9D">
      <w:pPr>
        <w:spacing w:line="240" w:lineRule="auto"/>
        <w:jc w:val="center"/>
        <w:rPr>
          <w:rFonts w:ascii="Times New Roman" w:hAnsi="Times New Roman" w:cs="Times New Roman"/>
          <w:color w:val="0070C0"/>
          <w:sz w:val="24"/>
          <w:szCs w:val="24"/>
        </w:rPr>
      </w:pPr>
      <w:r w:rsidRPr="002A33AE">
        <w:rPr>
          <w:rFonts w:ascii="Times New Roman" w:hAnsi="Times New Roman" w:cs="Times New Roman"/>
          <w:color w:val="0070C0"/>
          <w:sz w:val="24"/>
          <w:szCs w:val="24"/>
        </w:rPr>
        <w:t xml:space="preserve">СБОРНИК ТЕЗИСОВ УЧАСТНИКОВ </w:t>
      </w:r>
    </w:p>
    <w:p w:rsidR="00B01C92" w:rsidRPr="002A33AE" w:rsidRDefault="00B01C92" w:rsidP="002F3F9D">
      <w:pPr>
        <w:spacing w:line="240" w:lineRule="auto"/>
        <w:jc w:val="center"/>
        <w:rPr>
          <w:rFonts w:ascii="Times New Roman" w:hAnsi="Times New Roman" w:cs="Times New Roman"/>
          <w:color w:val="0070C0"/>
          <w:sz w:val="24"/>
          <w:szCs w:val="24"/>
        </w:rPr>
      </w:pPr>
      <w:r w:rsidRPr="002A33AE">
        <w:rPr>
          <w:rFonts w:ascii="Times New Roman" w:hAnsi="Times New Roman" w:cs="Times New Roman"/>
          <w:color w:val="0070C0"/>
          <w:sz w:val="24"/>
          <w:szCs w:val="24"/>
        </w:rPr>
        <w:t>СТУДЕНЧЕСКИХ НАУЧНО-ПРАКТИЧЕСКИХ КОНФЕРЕНЦИЙ</w:t>
      </w:r>
    </w:p>
    <w:p w:rsidR="00B01C92" w:rsidRPr="002A33AE" w:rsidRDefault="00B01C92" w:rsidP="002F3F9D">
      <w:pPr>
        <w:spacing w:line="240" w:lineRule="auto"/>
        <w:jc w:val="center"/>
        <w:rPr>
          <w:rFonts w:ascii="Times New Roman" w:hAnsi="Times New Roman" w:cs="Times New Roman"/>
          <w:color w:val="0070C0"/>
          <w:sz w:val="24"/>
          <w:szCs w:val="24"/>
        </w:rPr>
      </w:pPr>
      <w:r w:rsidRPr="002A33AE">
        <w:rPr>
          <w:rFonts w:ascii="Times New Roman" w:hAnsi="Times New Roman" w:cs="Times New Roman"/>
          <w:color w:val="0070C0"/>
          <w:sz w:val="24"/>
          <w:szCs w:val="24"/>
        </w:rPr>
        <w:t>РОССИЙСКОГО, РЕСПУБЛИКАНСКОГО И РЕГИОНАЛЬНОГО</w:t>
      </w:r>
    </w:p>
    <w:p w:rsidR="00B01C92" w:rsidRPr="002A33AE" w:rsidRDefault="00B01C92" w:rsidP="002F3F9D">
      <w:pPr>
        <w:spacing w:line="240" w:lineRule="auto"/>
        <w:jc w:val="center"/>
        <w:rPr>
          <w:rFonts w:ascii="Times New Roman" w:hAnsi="Times New Roman" w:cs="Times New Roman"/>
          <w:color w:val="0070C0"/>
          <w:sz w:val="24"/>
          <w:szCs w:val="24"/>
        </w:rPr>
      </w:pPr>
      <w:r w:rsidRPr="002A33AE">
        <w:rPr>
          <w:rFonts w:ascii="Times New Roman" w:hAnsi="Times New Roman" w:cs="Times New Roman"/>
          <w:color w:val="0070C0"/>
          <w:sz w:val="24"/>
          <w:szCs w:val="24"/>
        </w:rPr>
        <w:t xml:space="preserve"> УРОВНЕЙ</w:t>
      </w: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AC07B5" w:rsidRPr="0091335F" w:rsidRDefault="00AC07B5" w:rsidP="00AC07B5">
      <w:pPr>
        <w:spacing w:line="240" w:lineRule="auto"/>
        <w:jc w:val="center"/>
        <w:rPr>
          <w:rFonts w:ascii="Times New Roman" w:eastAsia="Times New Roman" w:hAnsi="Times New Roman" w:cs="Times New Roman"/>
          <w:b/>
          <w:color w:val="FF0000"/>
          <w:sz w:val="28"/>
          <w:szCs w:val="28"/>
        </w:rPr>
      </w:pPr>
      <w:r w:rsidRPr="0091335F">
        <w:rPr>
          <w:rFonts w:ascii="Times New Roman" w:eastAsia="Times New Roman" w:hAnsi="Times New Roman" w:cs="Times New Roman"/>
          <w:b/>
          <w:color w:val="FF0000"/>
          <w:sz w:val="28"/>
          <w:szCs w:val="28"/>
        </w:rPr>
        <w:t>Межрегиональная студенческая научно-практическая конференция-конкурс</w:t>
      </w:r>
    </w:p>
    <w:p w:rsidR="00AC07B5" w:rsidRPr="0091335F" w:rsidRDefault="00AC07B5" w:rsidP="00AC07B5">
      <w:pPr>
        <w:spacing w:line="240" w:lineRule="auto"/>
        <w:jc w:val="center"/>
        <w:rPr>
          <w:rFonts w:ascii="Times New Roman" w:eastAsia="Times New Roman" w:hAnsi="Times New Roman" w:cs="Times New Roman"/>
          <w:b/>
          <w:color w:val="FF0000"/>
          <w:sz w:val="28"/>
          <w:szCs w:val="28"/>
        </w:rPr>
      </w:pPr>
      <w:r w:rsidRPr="0091335F">
        <w:rPr>
          <w:rFonts w:ascii="Times New Roman" w:eastAsia="Times New Roman" w:hAnsi="Times New Roman" w:cs="Times New Roman"/>
          <w:b/>
          <w:color w:val="FF0000"/>
          <w:sz w:val="28"/>
          <w:szCs w:val="28"/>
        </w:rPr>
        <w:t>«Социально-экономическое развитие Республики Саха (Якутия) в системе Дальнего Востока России и Азиатско-Тихоокеанского региона</w:t>
      </w: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Default="00B01C92" w:rsidP="002F3F9D">
      <w:pPr>
        <w:spacing w:line="240" w:lineRule="auto"/>
        <w:jc w:val="center"/>
        <w:rPr>
          <w:rFonts w:ascii="Times New Roman" w:hAnsi="Times New Roman" w:cs="Times New Roman"/>
          <w:b/>
          <w:color w:val="FF0000"/>
          <w:sz w:val="24"/>
          <w:szCs w:val="24"/>
        </w:rPr>
      </w:pPr>
    </w:p>
    <w:p w:rsidR="00B01C92" w:rsidRPr="002A33AE" w:rsidRDefault="00B01C92" w:rsidP="002F3F9D">
      <w:pPr>
        <w:spacing w:line="240" w:lineRule="auto"/>
        <w:jc w:val="center"/>
        <w:rPr>
          <w:rFonts w:ascii="Times New Roman" w:hAnsi="Times New Roman" w:cs="Times New Roman"/>
          <w:b/>
          <w:color w:val="0070C0"/>
          <w:sz w:val="24"/>
          <w:szCs w:val="24"/>
        </w:rPr>
      </w:pPr>
      <w:r w:rsidRPr="002A33AE">
        <w:rPr>
          <w:rFonts w:ascii="Times New Roman" w:hAnsi="Times New Roman" w:cs="Times New Roman"/>
          <w:b/>
          <w:color w:val="0070C0"/>
          <w:sz w:val="24"/>
          <w:szCs w:val="24"/>
        </w:rPr>
        <w:t>Г.Нюрба 2011 г</w:t>
      </w:r>
    </w:p>
    <w:p w:rsidR="002F3F9D" w:rsidRDefault="002F3F9D" w:rsidP="002F3F9D">
      <w:pPr>
        <w:spacing w:line="240" w:lineRule="auto"/>
        <w:jc w:val="center"/>
        <w:rPr>
          <w:rFonts w:ascii="Times New Roman" w:eastAsia="Times New Roman" w:hAnsi="Times New Roman" w:cs="Times New Roman"/>
          <w:b/>
          <w:sz w:val="24"/>
          <w:szCs w:val="24"/>
        </w:rPr>
      </w:pPr>
    </w:p>
    <w:p w:rsidR="002F3F9D" w:rsidRDefault="002F3F9D" w:rsidP="002F3F9D">
      <w:pPr>
        <w:spacing w:line="240" w:lineRule="auto"/>
        <w:jc w:val="center"/>
        <w:rPr>
          <w:rFonts w:ascii="Times New Roman" w:eastAsia="Times New Roman" w:hAnsi="Times New Roman" w:cs="Times New Roman"/>
          <w:b/>
          <w:sz w:val="24"/>
          <w:szCs w:val="24"/>
        </w:rPr>
      </w:pPr>
    </w:p>
    <w:p w:rsidR="002F3F9D" w:rsidRDefault="002F3F9D" w:rsidP="002F3F9D">
      <w:pPr>
        <w:spacing w:line="240" w:lineRule="auto"/>
        <w:jc w:val="center"/>
        <w:rPr>
          <w:rFonts w:ascii="Times New Roman" w:eastAsia="Times New Roman" w:hAnsi="Times New Roman" w:cs="Times New Roman"/>
          <w:b/>
          <w:sz w:val="24"/>
          <w:szCs w:val="24"/>
        </w:rPr>
      </w:pPr>
    </w:p>
    <w:p w:rsidR="00B01C92" w:rsidRPr="00B01C92" w:rsidRDefault="00B01C92" w:rsidP="002F3F9D">
      <w:pPr>
        <w:spacing w:line="240" w:lineRule="auto"/>
        <w:jc w:val="center"/>
        <w:rPr>
          <w:rFonts w:ascii="Times New Roman" w:eastAsia="Times New Roman" w:hAnsi="Times New Roman" w:cs="Times New Roman"/>
          <w:b/>
          <w:sz w:val="24"/>
          <w:szCs w:val="24"/>
        </w:rPr>
      </w:pPr>
      <w:r w:rsidRPr="00B01C92">
        <w:rPr>
          <w:rFonts w:ascii="Times New Roman" w:eastAsia="Times New Roman" w:hAnsi="Times New Roman" w:cs="Times New Roman"/>
          <w:b/>
          <w:sz w:val="24"/>
          <w:szCs w:val="24"/>
        </w:rPr>
        <w:t>«Формирование позитивного имиджа</w:t>
      </w:r>
    </w:p>
    <w:p w:rsidR="00B01C92" w:rsidRPr="00B01C92" w:rsidRDefault="00B01C92" w:rsidP="002F3F9D">
      <w:pPr>
        <w:spacing w:line="240" w:lineRule="auto"/>
        <w:jc w:val="center"/>
        <w:rPr>
          <w:rFonts w:ascii="Times New Roman" w:eastAsia="Times New Roman" w:hAnsi="Times New Roman" w:cs="Times New Roman"/>
          <w:b/>
          <w:sz w:val="24"/>
          <w:szCs w:val="24"/>
        </w:rPr>
      </w:pPr>
      <w:r w:rsidRPr="00B01C92">
        <w:rPr>
          <w:rFonts w:ascii="Times New Roman" w:eastAsia="Times New Roman" w:hAnsi="Times New Roman" w:cs="Times New Roman"/>
          <w:b/>
          <w:sz w:val="24"/>
          <w:szCs w:val="24"/>
        </w:rPr>
        <w:t>Республики Саха (Якутия) как критерия оценки инвестиционной привлекательности региона»</w:t>
      </w:r>
    </w:p>
    <w:p w:rsidR="00B01C92" w:rsidRPr="00B01C92" w:rsidRDefault="00B01C92" w:rsidP="002F3F9D">
      <w:pPr>
        <w:spacing w:line="240" w:lineRule="auto"/>
        <w:jc w:val="both"/>
        <w:rPr>
          <w:rFonts w:ascii="Times New Roman" w:eastAsia="Times New Roman" w:hAnsi="Times New Roman" w:cs="Times New Roman"/>
          <w:sz w:val="24"/>
          <w:szCs w:val="24"/>
        </w:rPr>
      </w:pP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Автор: </w:t>
      </w:r>
    </w:p>
    <w:p w:rsidR="00B01C92" w:rsidRPr="00B01C92" w:rsidRDefault="00B01C92" w:rsidP="002F3F9D">
      <w:pPr>
        <w:spacing w:line="240" w:lineRule="auto"/>
        <w:jc w:val="right"/>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Иванова Татьяна Эдуардовна,</w:t>
      </w:r>
    </w:p>
    <w:p w:rsidR="00B01C92" w:rsidRPr="00B01C92" w:rsidRDefault="00B01C92" w:rsidP="002F3F9D">
      <w:pPr>
        <w:spacing w:line="240" w:lineRule="auto"/>
        <w:jc w:val="right"/>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студентка 2 курса группы </w:t>
      </w:r>
    </w:p>
    <w:p w:rsidR="00B01C92" w:rsidRPr="00B01C92" w:rsidRDefault="00B01C92" w:rsidP="002F3F9D">
      <w:pPr>
        <w:spacing w:line="240" w:lineRule="auto"/>
        <w:jc w:val="right"/>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"Экономика и бухгалтерский учет"</w:t>
      </w:r>
    </w:p>
    <w:p w:rsidR="00B01C92" w:rsidRPr="00B01C92" w:rsidRDefault="00B01C92" w:rsidP="002F3F9D">
      <w:pPr>
        <w:spacing w:line="240" w:lineRule="auto"/>
        <w:jc w:val="right"/>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Научный руководитель:</w:t>
      </w:r>
    </w:p>
    <w:p w:rsidR="00B01C92" w:rsidRPr="00B01C92" w:rsidRDefault="00B01C92" w:rsidP="002F3F9D">
      <w:pPr>
        <w:spacing w:line="240" w:lineRule="auto"/>
        <w:jc w:val="right"/>
        <w:rPr>
          <w:rFonts w:ascii="Times New Roman" w:eastAsia="Times New Roman" w:hAnsi="Times New Roman" w:cs="Times New Roman"/>
          <w:sz w:val="24"/>
          <w:szCs w:val="24"/>
        </w:rPr>
      </w:pPr>
      <w:proofErr w:type="spellStart"/>
      <w:r w:rsidRPr="00B01C92">
        <w:rPr>
          <w:rFonts w:ascii="Times New Roman" w:eastAsia="Times New Roman" w:hAnsi="Times New Roman" w:cs="Times New Roman"/>
          <w:sz w:val="24"/>
          <w:szCs w:val="24"/>
        </w:rPr>
        <w:t>Копырина</w:t>
      </w:r>
      <w:proofErr w:type="spellEnd"/>
      <w:r w:rsidRPr="00B01C92">
        <w:rPr>
          <w:rFonts w:ascii="Times New Roman" w:eastAsia="Times New Roman" w:hAnsi="Times New Roman" w:cs="Times New Roman"/>
          <w:sz w:val="24"/>
          <w:szCs w:val="24"/>
        </w:rPr>
        <w:t xml:space="preserve"> Лариса Егоровна                                                          </w:t>
      </w:r>
    </w:p>
    <w:p w:rsidR="00B01C92" w:rsidRPr="00B01C92" w:rsidRDefault="00B01C92" w:rsidP="002F3F9D">
      <w:pPr>
        <w:spacing w:line="240" w:lineRule="auto"/>
        <w:jc w:val="right"/>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Преподаватель дисциплин цикла ОГСЭ</w:t>
      </w:r>
    </w:p>
    <w:p w:rsidR="00B01C92" w:rsidRPr="00B01C92" w:rsidRDefault="00B01C92" w:rsidP="002F3F9D">
      <w:pPr>
        <w:spacing w:line="240" w:lineRule="auto"/>
        <w:jc w:val="right"/>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ГОУ СПО «</w:t>
      </w:r>
      <w:proofErr w:type="spellStart"/>
      <w:r w:rsidRPr="00B01C92">
        <w:rPr>
          <w:rFonts w:ascii="Times New Roman" w:eastAsia="Times New Roman" w:hAnsi="Times New Roman" w:cs="Times New Roman"/>
          <w:sz w:val="24"/>
          <w:szCs w:val="24"/>
        </w:rPr>
        <w:t>Нюрбинский</w:t>
      </w:r>
      <w:proofErr w:type="spellEnd"/>
      <w:r w:rsidRPr="00B01C92">
        <w:rPr>
          <w:rFonts w:ascii="Times New Roman" w:eastAsia="Times New Roman" w:hAnsi="Times New Roman" w:cs="Times New Roman"/>
          <w:sz w:val="24"/>
          <w:szCs w:val="24"/>
        </w:rPr>
        <w:t xml:space="preserve"> колледж»</w:t>
      </w:r>
    </w:p>
    <w:p w:rsidR="00B01C92" w:rsidRDefault="00B01C92" w:rsidP="002F3F9D">
      <w:pPr>
        <w:spacing w:line="240" w:lineRule="auto"/>
        <w:jc w:val="both"/>
        <w:rPr>
          <w:rFonts w:ascii="Times New Roman" w:eastAsia="Times New Roman" w:hAnsi="Times New Roman" w:cs="Times New Roman"/>
          <w:b/>
          <w:sz w:val="24"/>
          <w:szCs w:val="24"/>
        </w:rPr>
      </w:pP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b/>
          <w:sz w:val="24"/>
          <w:szCs w:val="24"/>
        </w:rPr>
        <w:t xml:space="preserve">Актуальность: </w:t>
      </w:r>
      <w:r w:rsidRPr="00B01C92">
        <w:rPr>
          <w:rFonts w:ascii="Times New Roman" w:eastAsia="Times New Roman" w:hAnsi="Times New Roman" w:cs="Times New Roman"/>
          <w:sz w:val="24"/>
          <w:szCs w:val="24"/>
        </w:rPr>
        <w:t xml:space="preserve">необходимость формирования собственного имиджа каждого региона и усиление моментов узнаваемости российских территорий очевидна. Потому что, в конечном итоге, это способствует привлечению внимания к региону, дает возможность более эффективно лоббировать свои интересы, улучшать инвестиционный климат, получать дополнительные ресурсы для развития региональной экономики, становиться кадровым резервом федеральных элит. </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Более того, продвижение имиджа регионов — перспективный путь преодоления трудностей в формировании имиджа России в целом. </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b/>
          <w:sz w:val="24"/>
          <w:szCs w:val="24"/>
        </w:rPr>
        <w:t>Гипотеза:</w:t>
      </w:r>
      <w:r w:rsidRPr="00B01C92">
        <w:rPr>
          <w:rFonts w:ascii="Times New Roman" w:eastAsia="Times New Roman" w:hAnsi="Times New Roman" w:cs="Times New Roman"/>
          <w:sz w:val="24"/>
          <w:szCs w:val="24"/>
        </w:rPr>
        <w:t xml:space="preserve"> если определить условия, необходимые для развития и формирования позитивного инвестиционного имиджа Республики Саха (Якутия), то можно создать благоприятный инвестиционный климат  по основным направлениям социально-экономического развития территории.</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b/>
          <w:sz w:val="24"/>
          <w:szCs w:val="24"/>
        </w:rPr>
        <w:t>Цель работы:</w:t>
      </w:r>
      <w:r w:rsidRPr="00B01C92">
        <w:rPr>
          <w:rFonts w:ascii="Times New Roman" w:eastAsia="Times New Roman" w:hAnsi="Times New Roman" w:cs="Times New Roman"/>
          <w:sz w:val="24"/>
          <w:szCs w:val="24"/>
        </w:rPr>
        <w:t xml:space="preserve"> выявить условия, необходимые для формирования позитивного имиджа Республики Саха (Якутия).</w:t>
      </w:r>
    </w:p>
    <w:p w:rsidR="00B01C92" w:rsidRPr="00B01C92" w:rsidRDefault="00B01C92" w:rsidP="002F3F9D">
      <w:pPr>
        <w:spacing w:line="240" w:lineRule="auto"/>
        <w:jc w:val="both"/>
        <w:rPr>
          <w:rFonts w:ascii="Times New Roman" w:eastAsia="Times New Roman" w:hAnsi="Times New Roman" w:cs="Times New Roman"/>
          <w:b/>
          <w:sz w:val="24"/>
          <w:szCs w:val="24"/>
        </w:rPr>
      </w:pPr>
      <w:r w:rsidRPr="00B01C92">
        <w:rPr>
          <w:rFonts w:ascii="Times New Roman" w:eastAsia="Times New Roman" w:hAnsi="Times New Roman" w:cs="Times New Roman"/>
          <w:b/>
          <w:sz w:val="24"/>
          <w:szCs w:val="24"/>
        </w:rPr>
        <w:t>Задачи:</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1.Ознакомиться с инвестиционным потенциалом Республики Саха (Якутия);</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2.Проанализировать условия по позиционированию Республики Саха (Якутия);</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3.Изучить условия по формированию </w:t>
      </w:r>
      <w:proofErr w:type="spellStart"/>
      <w:r w:rsidRPr="00B01C92">
        <w:rPr>
          <w:rFonts w:ascii="Times New Roman" w:eastAsia="Times New Roman" w:hAnsi="Times New Roman" w:cs="Times New Roman"/>
          <w:sz w:val="24"/>
          <w:szCs w:val="24"/>
        </w:rPr>
        <w:t>брендинга</w:t>
      </w:r>
      <w:proofErr w:type="spellEnd"/>
      <w:r w:rsidRPr="00B01C92">
        <w:rPr>
          <w:rFonts w:ascii="Times New Roman" w:eastAsia="Times New Roman" w:hAnsi="Times New Roman" w:cs="Times New Roman"/>
          <w:sz w:val="24"/>
          <w:szCs w:val="24"/>
        </w:rPr>
        <w:t xml:space="preserve"> Республики Саха (Якутия);</w:t>
      </w:r>
    </w:p>
    <w:p w:rsidR="002F3F9D" w:rsidRDefault="002F3F9D" w:rsidP="002F3F9D">
      <w:pPr>
        <w:spacing w:line="240" w:lineRule="auto"/>
        <w:jc w:val="both"/>
        <w:rPr>
          <w:rFonts w:ascii="Times New Roman" w:eastAsia="Times New Roman" w:hAnsi="Times New Roman" w:cs="Times New Roman"/>
          <w:b/>
          <w:sz w:val="24"/>
          <w:szCs w:val="24"/>
        </w:rPr>
      </w:pPr>
    </w:p>
    <w:p w:rsidR="00B01C92" w:rsidRPr="00B01C92" w:rsidRDefault="00B01C92" w:rsidP="002F3F9D">
      <w:pPr>
        <w:spacing w:line="240" w:lineRule="auto"/>
        <w:jc w:val="both"/>
        <w:rPr>
          <w:rFonts w:ascii="Times New Roman" w:eastAsia="Times New Roman" w:hAnsi="Times New Roman" w:cs="Times New Roman"/>
          <w:b/>
          <w:sz w:val="24"/>
          <w:szCs w:val="24"/>
        </w:rPr>
      </w:pPr>
      <w:r w:rsidRPr="00B01C92">
        <w:rPr>
          <w:rFonts w:ascii="Times New Roman" w:eastAsia="Times New Roman" w:hAnsi="Times New Roman" w:cs="Times New Roman"/>
          <w:b/>
          <w:sz w:val="24"/>
          <w:szCs w:val="24"/>
        </w:rPr>
        <w:t>Методы исследования:</w:t>
      </w:r>
    </w:p>
    <w:p w:rsidR="00B01C92" w:rsidRPr="00B01C92" w:rsidRDefault="00B01C92" w:rsidP="002F3F9D">
      <w:pPr>
        <w:numPr>
          <w:ilvl w:val="0"/>
          <w:numId w:val="1"/>
        </w:numPr>
        <w:spacing w:line="240" w:lineRule="auto"/>
        <w:ind w:left="720" w:hanging="360"/>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Метод поиска и сбора информации;</w:t>
      </w:r>
    </w:p>
    <w:p w:rsidR="00B01C92" w:rsidRPr="002F3F9D" w:rsidRDefault="00B01C92" w:rsidP="002F3F9D">
      <w:pPr>
        <w:numPr>
          <w:ilvl w:val="0"/>
          <w:numId w:val="1"/>
        </w:numPr>
        <w:spacing w:line="240" w:lineRule="auto"/>
        <w:ind w:left="720" w:hanging="360"/>
        <w:jc w:val="both"/>
        <w:rPr>
          <w:rFonts w:ascii="Times New Roman" w:eastAsia="Times New Roman" w:hAnsi="Times New Roman" w:cs="Times New Roman"/>
          <w:sz w:val="24"/>
          <w:szCs w:val="24"/>
        </w:rPr>
      </w:pPr>
      <w:r w:rsidRPr="002F3F9D">
        <w:rPr>
          <w:rFonts w:ascii="Times New Roman" w:eastAsia="Times New Roman" w:hAnsi="Times New Roman" w:cs="Times New Roman"/>
          <w:sz w:val="24"/>
          <w:szCs w:val="24"/>
        </w:rPr>
        <w:lastRenderedPageBreak/>
        <w:t>Метод анализа и сравнительного анализа результатов;</w:t>
      </w:r>
    </w:p>
    <w:tbl>
      <w:tblPr>
        <w:tblpPr w:leftFromText="180" w:rightFromText="180" w:vertAnchor="text" w:horzAnchor="margin" w:tblpXSpec="center" w:tblpY="508"/>
        <w:tblW w:w="9639" w:type="dxa"/>
        <w:tblCellMar>
          <w:left w:w="10" w:type="dxa"/>
          <w:right w:w="10" w:type="dxa"/>
        </w:tblCellMar>
        <w:tblLook w:val="0000"/>
      </w:tblPr>
      <w:tblGrid>
        <w:gridCol w:w="9639"/>
      </w:tblGrid>
      <w:tr w:rsidR="00B01C92" w:rsidRPr="00B01C92" w:rsidTr="00EF639E">
        <w:trPr>
          <w:trHeight w:val="8795"/>
        </w:trPr>
        <w:tc>
          <w:tcPr>
            <w:tcW w:w="9639" w:type="dxa"/>
            <w:shd w:val="clear" w:color="auto" w:fill="F5FCFF"/>
            <w:tcMar>
              <w:left w:w="0" w:type="dxa"/>
              <w:right w:w="0" w:type="dxa"/>
            </w:tcMar>
          </w:tcPr>
          <w:p w:rsidR="00B01C92" w:rsidRPr="00B01C92" w:rsidRDefault="00B01C92" w:rsidP="002F3F9D">
            <w:pPr>
              <w:spacing w:line="240" w:lineRule="auto"/>
              <w:jc w:val="both"/>
              <w:rPr>
                <w:rFonts w:ascii="Times New Roman" w:eastAsia="Times New Roman" w:hAnsi="Times New Roman" w:cs="Times New Roman"/>
                <w:b/>
                <w:color w:val="000000"/>
                <w:sz w:val="24"/>
                <w:szCs w:val="24"/>
              </w:rPr>
            </w:pPr>
            <w:r w:rsidRPr="00B01C92">
              <w:rPr>
                <w:rFonts w:ascii="Times New Roman" w:eastAsia="Times New Roman" w:hAnsi="Times New Roman" w:cs="Times New Roman"/>
                <w:b/>
                <w:sz w:val="24"/>
                <w:szCs w:val="24"/>
              </w:rPr>
              <w:t>Ожидаемый результат:</w:t>
            </w:r>
            <w:r w:rsidRPr="00B01C92">
              <w:rPr>
                <w:rFonts w:ascii="Times New Roman" w:eastAsia="Times New Roman" w:hAnsi="Times New Roman" w:cs="Times New Roman"/>
                <w:sz w:val="24"/>
                <w:szCs w:val="24"/>
              </w:rPr>
              <w:t xml:space="preserve"> создание благоприятного инвестиционного климата по основным направлениям социально-экономического развития Республики Саха (Якутия).</w:t>
            </w:r>
          </w:p>
          <w:p w:rsidR="00B01C92" w:rsidRPr="00B01C92" w:rsidRDefault="00B01C92" w:rsidP="002F3F9D">
            <w:pPr>
              <w:numPr>
                <w:ilvl w:val="0"/>
                <w:numId w:val="2"/>
              </w:numPr>
              <w:spacing w:line="240" w:lineRule="auto"/>
              <w:ind w:left="1080" w:hanging="360"/>
              <w:jc w:val="both"/>
              <w:rPr>
                <w:rFonts w:ascii="Times New Roman" w:eastAsia="Times New Roman" w:hAnsi="Times New Roman" w:cs="Times New Roman"/>
                <w:b/>
                <w:color w:val="000000"/>
                <w:sz w:val="24"/>
                <w:szCs w:val="24"/>
              </w:rPr>
            </w:pPr>
            <w:r w:rsidRPr="00B01C92">
              <w:rPr>
                <w:rFonts w:ascii="Times New Roman" w:eastAsia="Times New Roman" w:hAnsi="Times New Roman" w:cs="Times New Roman"/>
                <w:b/>
                <w:color w:val="000000"/>
                <w:sz w:val="24"/>
                <w:szCs w:val="24"/>
              </w:rPr>
              <w:t>Инвестиционный потенциал Республики Саха (Якутия)</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b/>
                <w:sz w:val="24"/>
                <w:szCs w:val="24"/>
              </w:rPr>
              <w:t>Основные виды транспорта</w:t>
            </w:r>
            <w:r w:rsidRPr="00B01C92">
              <w:rPr>
                <w:rFonts w:ascii="Times New Roman" w:eastAsia="Times New Roman" w:hAnsi="Times New Roman" w:cs="Times New Roman"/>
                <w:sz w:val="24"/>
                <w:szCs w:val="24"/>
              </w:rPr>
              <w:t xml:space="preserve"> в Якутии – водный, воздушный, железная дорога. Судоходство – по Северному морскому пути, а также по реке Лена и ее притокам. Развит также автомобильный транспорт (преимущественно в зимний период). Главные автодороги: </w:t>
            </w:r>
            <w:proofErr w:type="spellStart"/>
            <w:r w:rsidRPr="00B01C92">
              <w:rPr>
                <w:rFonts w:ascii="Times New Roman" w:eastAsia="Times New Roman" w:hAnsi="Times New Roman" w:cs="Times New Roman"/>
                <w:sz w:val="24"/>
                <w:szCs w:val="24"/>
              </w:rPr>
              <w:t>Амуро-Якутская</w:t>
            </w:r>
            <w:proofErr w:type="spellEnd"/>
            <w:r w:rsidRPr="00B01C92">
              <w:rPr>
                <w:rFonts w:ascii="Times New Roman" w:eastAsia="Times New Roman" w:hAnsi="Times New Roman" w:cs="Times New Roman"/>
                <w:sz w:val="24"/>
                <w:szCs w:val="24"/>
              </w:rPr>
              <w:t xml:space="preserve"> магистраль, </w:t>
            </w:r>
            <w:proofErr w:type="gramStart"/>
            <w:r w:rsidRPr="00B01C92">
              <w:rPr>
                <w:rFonts w:ascii="Times New Roman" w:eastAsia="Times New Roman" w:hAnsi="Times New Roman" w:cs="Times New Roman"/>
                <w:sz w:val="24"/>
                <w:szCs w:val="24"/>
              </w:rPr>
              <w:t>Ленск–Мирный</w:t>
            </w:r>
            <w:proofErr w:type="gramEnd"/>
            <w:r w:rsidRPr="00B01C92">
              <w:rPr>
                <w:rFonts w:ascii="Times New Roman" w:eastAsia="Times New Roman" w:hAnsi="Times New Roman" w:cs="Times New Roman"/>
                <w:sz w:val="24"/>
                <w:szCs w:val="24"/>
              </w:rPr>
              <w:t>, Хандыга–Магадан. Железнодорожная линия «Томмот-Якутс</w:t>
            </w:r>
            <w:proofErr w:type="gramStart"/>
            <w:r w:rsidRPr="00B01C92">
              <w:rPr>
                <w:rFonts w:ascii="Times New Roman" w:eastAsia="Times New Roman" w:hAnsi="Times New Roman" w:cs="Times New Roman"/>
                <w:sz w:val="24"/>
                <w:szCs w:val="24"/>
              </w:rPr>
              <w:t>к(</w:t>
            </w:r>
            <w:proofErr w:type="gramEnd"/>
            <w:r w:rsidRPr="00B01C92">
              <w:rPr>
                <w:rFonts w:ascii="Times New Roman" w:eastAsia="Times New Roman" w:hAnsi="Times New Roman" w:cs="Times New Roman"/>
                <w:sz w:val="24"/>
                <w:szCs w:val="24"/>
              </w:rPr>
              <w:t xml:space="preserve">станция Нижний Бестях) 15 ноября 2011г. присоединился к Транссибу и </w:t>
            </w:r>
            <w:proofErr w:type="spellStart"/>
            <w:r w:rsidRPr="00B01C92">
              <w:rPr>
                <w:rFonts w:ascii="Times New Roman" w:eastAsia="Times New Roman" w:hAnsi="Times New Roman" w:cs="Times New Roman"/>
                <w:sz w:val="24"/>
                <w:szCs w:val="24"/>
              </w:rPr>
              <w:t>БАМу</w:t>
            </w:r>
            <w:proofErr w:type="spellEnd"/>
            <w:r w:rsidRPr="00B01C92">
              <w:rPr>
                <w:rFonts w:ascii="Times New Roman" w:eastAsia="Times New Roman" w:hAnsi="Times New Roman" w:cs="Times New Roman"/>
                <w:sz w:val="24"/>
                <w:szCs w:val="24"/>
              </w:rPr>
              <w:t>.</w:t>
            </w:r>
          </w:p>
          <w:p w:rsidR="00B01C92" w:rsidRPr="00B01C92" w:rsidRDefault="00B01C92" w:rsidP="002F3F9D">
            <w:pPr>
              <w:spacing w:before="100" w:after="100" w:line="240" w:lineRule="auto"/>
              <w:jc w:val="both"/>
              <w:rPr>
                <w:rFonts w:ascii="Times New Roman" w:eastAsia="Times New Roman" w:hAnsi="Times New Roman" w:cs="Times New Roman"/>
                <w:sz w:val="24"/>
                <w:szCs w:val="24"/>
              </w:rPr>
            </w:pPr>
            <w:proofErr w:type="spellStart"/>
            <w:r w:rsidRPr="00B01C92">
              <w:rPr>
                <w:rFonts w:ascii="Times New Roman" w:eastAsia="Times New Roman" w:hAnsi="Times New Roman" w:cs="Times New Roman"/>
                <w:b/>
                <w:sz w:val="24"/>
                <w:szCs w:val="24"/>
              </w:rPr>
              <w:t>Население</w:t>
            </w:r>
            <w:proofErr w:type="gramStart"/>
            <w:r w:rsidRPr="00B01C92">
              <w:rPr>
                <w:rFonts w:ascii="Times New Roman" w:eastAsia="Times New Roman" w:hAnsi="Times New Roman" w:cs="Times New Roman"/>
                <w:sz w:val="24"/>
                <w:szCs w:val="24"/>
              </w:rPr>
              <w:t>.</w:t>
            </w:r>
            <w:r w:rsidRPr="00B01C92">
              <w:rPr>
                <w:rFonts w:ascii="Times New Roman" w:eastAsia="Times New Roman" w:hAnsi="Times New Roman" w:cs="Times New Roman"/>
                <w:color w:val="000000"/>
                <w:sz w:val="24"/>
                <w:szCs w:val="24"/>
              </w:rPr>
              <w:t>П</w:t>
            </w:r>
            <w:proofErr w:type="gramEnd"/>
            <w:r w:rsidRPr="00B01C92">
              <w:rPr>
                <w:rFonts w:ascii="Times New Roman" w:eastAsia="Times New Roman" w:hAnsi="Times New Roman" w:cs="Times New Roman"/>
                <w:color w:val="000000"/>
                <w:sz w:val="24"/>
                <w:szCs w:val="24"/>
              </w:rPr>
              <w:t>о</w:t>
            </w:r>
            <w:proofErr w:type="spellEnd"/>
            <w:r w:rsidRPr="00B01C92">
              <w:rPr>
                <w:rFonts w:ascii="Times New Roman" w:eastAsia="Times New Roman" w:hAnsi="Times New Roman" w:cs="Times New Roman"/>
                <w:color w:val="000000"/>
                <w:sz w:val="24"/>
                <w:szCs w:val="24"/>
              </w:rPr>
              <w:t xml:space="preserve"> итогам Всероссийской переписи населения 2010 года в Республике Саха (Якутия) численность населения Якутии составляет 958,3 тысяч человек. Из регионов Дальневосточного Федерального Округа — это третье место. Саха(Якутия)</w:t>
            </w:r>
            <w:proofErr w:type="spellStart"/>
            <w:r w:rsidRPr="00B01C92">
              <w:rPr>
                <w:rFonts w:ascii="Times New Roman" w:eastAsia="Times New Roman" w:hAnsi="Times New Roman" w:cs="Times New Roman"/>
                <w:color w:val="000000"/>
                <w:sz w:val="24"/>
                <w:szCs w:val="24"/>
              </w:rPr>
              <w:t>стат</w:t>
            </w:r>
            <w:proofErr w:type="spellEnd"/>
            <w:r w:rsidRPr="00B01C92">
              <w:rPr>
                <w:rFonts w:ascii="Times New Roman" w:eastAsia="Times New Roman" w:hAnsi="Times New Roman" w:cs="Times New Roman"/>
                <w:color w:val="000000"/>
                <w:sz w:val="24"/>
                <w:szCs w:val="24"/>
              </w:rPr>
              <w:t xml:space="preserve"> отмечает, что республика входит в число 20 регионов России (из 83-х), в которых по сравнению с предыдущей переписью населения в 2002 году численность населения </w:t>
            </w:r>
            <w:proofErr w:type="spellStart"/>
            <w:r w:rsidRPr="00B01C92">
              <w:rPr>
                <w:rFonts w:ascii="Times New Roman" w:eastAsia="Times New Roman" w:hAnsi="Times New Roman" w:cs="Times New Roman"/>
                <w:color w:val="000000"/>
                <w:sz w:val="24"/>
                <w:szCs w:val="24"/>
              </w:rPr>
              <w:t>увеличилась</w:t>
            </w:r>
            <w:proofErr w:type="gramStart"/>
            <w:r w:rsidRPr="00B01C92">
              <w:rPr>
                <w:rFonts w:ascii="Times New Roman" w:eastAsia="Times New Roman" w:hAnsi="Times New Roman" w:cs="Times New Roman"/>
                <w:color w:val="000000"/>
                <w:sz w:val="24"/>
                <w:szCs w:val="24"/>
              </w:rPr>
              <w:t>.</w:t>
            </w:r>
            <w:r w:rsidRPr="00B01C92">
              <w:rPr>
                <w:rFonts w:ascii="Times New Roman" w:eastAsia="Times New Roman" w:hAnsi="Times New Roman" w:cs="Times New Roman"/>
                <w:sz w:val="24"/>
                <w:szCs w:val="24"/>
              </w:rPr>
              <w:t>Н</w:t>
            </w:r>
            <w:proofErr w:type="gramEnd"/>
            <w:r w:rsidRPr="00B01C92">
              <w:rPr>
                <w:rFonts w:ascii="Times New Roman" w:eastAsia="Times New Roman" w:hAnsi="Times New Roman" w:cs="Times New Roman"/>
                <w:sz w:val="24"/>
                <w:szCs w:val="24"/>
              </w:rPr>
              <w:t>аселение</w:t>
            </w:r>
            <w:proofErr w:type="spellEnd"/>
            <w:r w:rsidRPr="00B01C92">
              <w:rPr>
                <w:rFonts w:ascii="Times New Roman" w:eastAsia="Times New Roman" w:hAnsi="Times New Roman" w:cs="Times New Roman"/>
                <w:sz w:val="24"/>
                <w:szCs w:val="24"/>
              </w:rPr>
              <w:t xml:space="preserve"> региона составляет 949,8 тыс. человек (оценка на 1 января 2009 г).</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b/>
                <w:sz w:val="24"/>
                <w:szCs w:val="24"/>
              </w:rPr>
              <w:t>Основные недостатки</w:t>
            </w:r>
            <w:r w:rsidRPr="00B01C92">
              <w:rPr>
                <w:rFonts w:ascii="Times New Roman" w:eastAsia="Times New Roman" w:hAnsi="Times New Roman" w:cs="Times New Roman"/>
                <w:sz w:val="24"/>
                <w:szCs w:val="24"/>
              </w:rPr>
              <w:t xml:space="preserve"> – периферийное экономико-географическое положение, суровые природно-климатические условия, труднодоступность территории, зависимость экономики и жизни людей во многих местах республики от завоза топлива и продовольствия. Большое значение в плане социально-экономического развития республики придается проекту комплексного развития Южной Якутии.</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b/>
                <w:sz w:val="24"/>
                <w:szCs w:val="24"/>
              </w:rPr>
              <w:t>Инвестиционная привлекательность.</w:t>
            </w:r>
            <w:r w:rsidRPr="00B01C92">
              <w:rPr>
                <w:rFonts w:ascii="Times New Roman" w:eastAsia="Times New Roman" w:hAnsi="Times New Roman" w:cs="Times New Roman"/>
                <w:sz w:val="24"/>
                <w:szCs w:val="24"/>
              </w:rPr>
              <w:t xml:space="preserve"> Среди субъектов Российской Федерации по инвестиционному риску регион занимает 57-е место, по инвестиционному потенциалу – 19-е место. Наименьший инвестиционный риск – криминальный, наибольший – экономический. Наибольший потенциал – природно-ресурсный.</w:t>
            </w:r>
          </w:p>
          <w:p w:rsidR="00B01C92" w:rsidRPr="00B01C92" w:rsidRDefault="00B01C92" w:rsidP="002F3F9D">
            <w:pPr>
              <w:spacing w:after="0" w:line="240" w:lineRule="auto"/>
              <w:jc w:val="both"/>
              <w:rPr>
                <w:rFonts w:ascii="Times New Roman" w:eastAsia="Times New Roman" w:hAnsi="Times New Roman" w:cs="Times New Roman"/>
                <w:b/>
                <w:sz w:val="24"/>
                <w:szCs w:val="24"/>
              </w:rPr>
            </w:pPr>
            <w:r w:rsidRPr="00B01C92">
              <w:rPr>
                <w:rFonts w:ascii="Times New Roman" w:eastAsia="Times New Roman" w:hAnsi="Times New Roman" w:cs="Times New Roman"/>
                <w:b/>
                <w:sz w:val="24"/>
                <w:szCs w:val="24"/>
              </w:rPr>
              <w:t>2.Рекомендации по позиционированию Республики Сах</w:t>
            </w:r>
            <w:proofErr w:type="gramStart"/>
            <w:r w:rsidRPr="00B01C92">
              <w:rPr>
                <w:rFonts w:ascii="Times New Roman" w:eastAsia="Times New Roman" w:hAnsi="Times New Roman" w:cs="Times New Roman"/>
                <w:b/>
                <w:sz w:val="24"/>
                <w:szCs w:val="24"/>
              </w:rPr>
              <w:t>а(</w:t>
            </w:r>
            <w:proofErr w:type="gramEnd"/>
            <w:r w:rsidRPr="00B01C92">
              <w:rPr>
                <w:rFonts w:ascii="Times New Roman" w:eastAsia="Times New Roman" w:hAnsi="Times New Roman" w:cs="Times New Roman"/>
                <w:b/>
                <w:sz w:val="24"/>
                <w:szCs w:val="24"/>
              </w:rPr>
              <w:t>Якутия)</w:t>
            </w:r>
          </w:p>
          <w:p w:rsidR="00B01C92" w:rsidRPr="00B01C92" w:rsidRDefault="00B01C92" w:rsidP="002F3F9D">
            <w:pPr>
              <w:spacing w:after="0" w:line="240" w:lineRule="auto"/>
              <w:jc w:val="both"/>
              <w:rPr>
                <w:rFonts w:ascii="Times New Roman" w:eastAsia="Times New Roman" w:hAnsi="Times New Roman" w:cs="Times New Roman"/>
                <w:color w:val="000000"/>
                <w:sz w:val="24"/>
                <w:szCs w:val="24"/>
              </w:rPr>
            </w:pPr>
            <w:r w:rsidRPr="00B01C92">
              <w:rPr>
                <w:rFonts w:ascii="Times New Roman" w:eastAsia="Times New Roman" w:hAnsi="Times New Roman" w:cs="Times New Roman"/>
                <w:color w:val="000000"/>
                <w:sz w:val="24"/>
                <w:szCs w:val="24"/>
              </w:rPr>
              <w:t xml:space="preserve">   </w:t>
            </w:r>
            <w:proofErr w:type="gramStart"/>
            <w:r w:rsidRPr="00B01C92">
              <w:rPr>
                <w:rFonts w:ascii="Times New Roman" w:eastAsia="Times New Roman" w:hAnsi="Times New Roman" w:cs="Times New Roman"/>
                <w:color w:val="000000"/>
                <w:sz w:val="24"/>
                <w:szCs w:val="24"/>
              </w:rPr>
              <w:t>На «</w:t>
            </w:r>
            <w:proofErr w:type="spellStart"/>
            <w:r w:rsidRPr="00B01C92">
              <w:rPr>
                <w:rFonts w:ascii="Times New Roman" w:eastAsia="Times New Roman" w:hAnsi="Times New Roman" w:cs="Times New Roman"/>
                <w:color w:val="000000"/>
                <w:sz w:val="24"/>
                <w:szCs w:val="24"/>
              </w:rPr>
              <w:t>брендированность</w:t>
            </w:r>
            <w:proofErr w:type="spellEnd"/>
            <w:r w:rsidRPr="00B01C92">
              <w:rPr>
                <w:rFonts w:ascii="Times New Roman" w:eastAsia="Times New Roman" w:hAnsi="Times New Roman" w:cs="Times New Roman"/>
                <w:color w:val="000000"/>
                <w:sz w:val="24"/>
                <w:szCs w:val="24"/>
              </w:rPr>
              <w:t>» региона влияют не только экономические, т.е. «жесткие» факторы, но и более гуманитарные или «мягкие» факторы, имеющие прямое отношение к рекламе и PR: официальные символы региона (герб, флаг и гимн); архитектурно-мемориальные символы; словесные символы; региональные награды; выставочно-ярмарочная деятельность; фестивали, конкурсы, праздники, имеющие региональный или общероссийский характер; справочная информация о регионе;</w:t>
            </w:r>
            <w:proofErr w:type="gramEnd"/>
            <w:r w:rsidRPr="00B01C92">
              <w:rPr>
                <w:rFonts w:ascii="Times New Roman" w:eastAsia="Times New Roman" w:hAnsi="Times New Roman" w:cs="Times New Roman"/>
                <w:color w:val="000000"/>
                <w:sz w:val="24"/>
                <w:szCs w:val="24"/>
              </w:rPr>
              <w:t xml:space="preserve"> наличие «визитных карточек» региона – сайты в Интернете, рекламные и общественно-политические журналы, справочники, буклеты и т.д.; информирование о знаменитых людях, живших и работавших на благо региона, а также тех, кто живет и работает в регионе в настоящее время;</w:t>
            </w:r>
          </w:p>
          <w:p w:rsidR="00B01C92" w:rsidRPr="00B01C92" w:rsidRDefault="00B01C92" w:rsidP="002F3F9D">
            <w:pPr>
              <w:spacing w:line="240" w:lineRule="auto"/>
              <w:ind w:left="360"/>
              <w:jc w:val="both"/>
              <w:rPr>
                <w:rFonts w:ascii="Times New Roman" w:eastAsia="Times New Roman" w:hAnsi="Times New Roman" w:cs="Times New Roman"/>
                <w:color w:val="000000"/>
                <w:sz w:val="24"/>
                <w:szCs w:val="24"/>
              </w:rPr>
            </w:pPr>
            <w:r w:rsidRPr="00B01C92">
              <w:rPr>
                <w:rFonts w:ascii="Times New Roman" w:eastAsia="Times New Roman" w:hAnsi="Times New Roman" w:cs="Times New Roman"/>
                <w:color w:val="000000"/>
                <w:sz w:val="24"/>
                <w:szCs w:val="24"/>
              </w:rPr>
              <w:t>  Попыток формирования положительного имиджа республики, за последнее время, предпринималось немало. В качестве примера можно привести следующее:</w:t>
            </w:r>
          </w:p>
          <w:p w:rsidR="00B01C92" w:rsidRPr="00B01C92" w:rsidRDefault="00B01C92" w:rsidP="002F3F9D">
            <w:pPr>
              <w:spacing w:after="0" w:line="240" w:lineRule="auto"/>
              <w:jc w:val="both"/>
              <w:rPr>
                <w:rFonts w:ascii="Times New Roman" w:eastAsia="Times New Roman" w:hAnsi="Times New Roman" w:cs="Times New Roman"/>
                <w:color w:val="000000"/>
                <w:sz w:val="24"/>
                <w:szCs w:val="24"/>
              </w:rPr>
            </w:pPr>
            <w:r w:rsidRPr="00B01C92">
              <w:rPr>
                <w:rFonts w:ascii="Times New Roman" w:eastAsia="Times New Roman" w:hAnsi="Times New Roman" w:cs="Times New Roman"/>
                <w:color w:val="000000"/>
                <w:sz w:val="24"/>
                <w:szCs w:val="24"/>
              </w:rPr>
              <w:t>- позиционирование республики с использованием ряда брендов, которые пытались привязать к региону: «Якутия –  алмазный край», «Якутия – образовательный центр Дальнего Востока» и т.д.;</w:t>
            </w:r>
          </w:p>
          <w:p w:rsidR="00B01C92" w:rsidRPr="00B01C92" w:rsidRDefault="00B01C92" w:rsidP="002F3F9D">
            <w:pPr>
              <w:spacing w:after="0" w:line="240" w:lineRule="auto"/>
              <w:jc w:val="both"/>
              <w:rPr>
                <w:rFonts w:ascii="Times New Roman" w:eastAsia="Times New Roman" w:hAnsi="Times New Roman" w:cs="Times New Roman"/>
                <w:color w:val="000000"/>
                <w:sz w:val="24"/>
                <w:szCs w:val="24"/>
              </w:rPr>
            </w:pPr>
            <w:r w:rsidRPr="00B01C92">
              <w:rPr>
                <w:rFonts w:ascii="Times New Roman" w:eastAsia="Times New Roman" w:hAnsi="Times New Roman" w:cs="Times New Roman"/>
                <w:color w:val="000000"/>
                <w:sz w:val="24"/>
                <w:szCs w:val="24"/>
              </w:rPr>
              <w:t>- постоянно разрабатываются и утверждаются доктрины, концепции, стратегии социально-экономического развития.</w:t>
            </w:r>
          </w:p>
          <w:p w:rsidR="00B01C92" w:rsidRPr="00B01C92" w:rsidRDefault="00B01C92" w:rsidP="002F3F9D">
            <w:pPr>
              <w:spacing w:after="0" w:line="240" w:lineRule="auto"/>
              <w:jc w:val="both"/>
              <w:rPr>
                <w:rFonts w:ascii="Times New Roman" w:eastAsia="Times New Roman" w:hAnsi="Times New Roman" w:cs="Times New Roman"/>
                <w:b/>
                <w:sz w:val="24"/>
                <w:szCs w:val="24"/>
              </w:rPr>
            </w:pPr>
            <w:r w:rsidRPr="00B01C92">
              <w:rPr>
                <w:rFonts w:ascii="Times New Roman" w:eastAsia="Times New Roman" w:hAnsi="Times New Roman" w:cs="Times New Roman"/>
                <w:color w:val="000000"/>
                <w:sz w:val="24"/>
                <w:szCs w:val="24"/>
              </w:rPr>
              <w:t xml:space="preserve">   </w:t>
            </w:r>
            <w:r w:rsidRPr="00B01C92">
              <w:rPr>
                <w:rFonts w:ascii="Times New Roman" w:eastAsia="Times New Roman" w:hAnsi="Times New Roman" w:cs="Times New Roman"/>
                <w:b/>
                <w:sz w:val="24"/>
                <w:szCs w:val="24"/>
              </w:rPr>
              <w:t>Заключение</w:t>
            </w:r>
          </w:p>
          <w:p w:rsidR="00B01C92" w:rsidRPr="00B01C92" w:rsidRDefault="00B01C92" w:rsidP="002F3F9D">
            <w:pPr>
              <w:spacing w:line="240" w:lineRule="auto"/>
              <w:jc w:val="both"/>
              <w:rPr>
                <w:rFonts w:ascii="Times New Roman" w:eastAsia="Times New Roman" w:hAnsi="Times New Roman" w:cs="Times New Roman"/>
                <w:sz w:val="24"/>
                <w:szCs w:val="24"/>
              </w:rPr>
            </w:pPr>
            <w:r w:rsidRPr="00B01C92">
              <w:rPr>
                <w:rFonts w:ascii="Times New Roman" w:eastAsia="Times New Roman" w:hAnsi="Times New Roman" w:cs="Times New Roman"/>
                <w:sz w:val="24"/>
                <w:szCs w:val="24"/>
              </w:rPr>
              <w:t xml:space="preserve">     Фактически имидж региона формируется на реальных аргументах – это комфортность проживания людей на данной территории, инвестиционная привлекательность региона, </w:t>
            </w:r>
            <w:r w:rsidRPr="00B01C92">
              <w:rPr>
                <w:rFonts w:ascii="Times New Roman" w:eastAsia="Times New Roman" w:hAnsi="Times New Roman" w:cs="Times New Roman"/>
                <w:sz w:val="24"/>
                <w:szCs w:val="24"/>
              </w:rPr>
              <w:lastRenderedPageBreak/>
              <w:t xml:space="preserve">прозрачность его финансовой политики, открытость и предсказуемость действий власти, работа средств массовой информации, возможность для народа воздействовать на нее, благоприятные условия для развития бизнеса. Это, конечно, далеко не полный перечень тех «кирпичиков», из которых на самом деле и складывается имидж региона. </w:t>
            </w:r>
          </w:p>
          <w:p w:rsidR="00B01C92" w:rsidRPr="00B01C92" w:rsidRDefault="00B01C92" w:rsidP="002F3F9D">
            <w:pPr>
              <w:spacing w:line="240" w:lineRule="auto"/>
              <w:jc w:val="both"/>
              <w:rPr>
                <w:rFonts w:ascii="Times New Roman" w:hAnsi="Times New Roman" w:cs="Times New Roman"/>
                <w:sz w:val="24"/>
                <w:szCs w:val="24"/>
              </w:rPr>
            </w:pPr>
            <w:r w:rsidRPr="00B01C92">
              <w:rPr>
                <w:rFonts w:ascii="Times New Roman" w:eastAsia="Times New Roman" w:hAnsi="Times New Roman" w:cs="Times New Roman"/>
                <w:sz w:val="24"/>
                <w:szCs w:val="24"/>
              </w:rPr>
              <w:t xml:space="preserve">Образ региона не статичен и изменяется во времени, как стихийно, так и </w:t>
            </w:r>
            <w:proofErr w:type="spellStart"/>
            <w:r w:rsidRPr="00B01C92">
              <w:rPr>
                <w:rFonts w:ascii="Times New Roman" w:eastAsia="Times New Roman" w:hAnsi="Times New Roman" w:cs="Times New Roman"/>
                <w:sz w:val="24"/>
                <w:szCs w:val="24"/>
              </w:rPr>
              <w:t>целенаправленно</w:t>
            </w:r>
            <w:proofErr w:type="gramStart"/>
            <w:r w:rsidRPr="00B01C92">
              <w:rPr>
                <w:rFonts w:ascii="Times New Roman" w:eastAsia="Times New Roman" w:hAnsi="Times New Roman" w:cs="Times New Roman"/>
                <w:sz w:val="24"/>
                <w:szCs w:val="24"/>
              </w:rPr>
              <w:t>.</w:t>
            </w:r>
            <w:bookmarkStart w:id="0" w:name="_GoBack"/>
            <w:bookmarkEnd w:id="0"/>
            <w:r w:rsidRPr="00B01C92">
              <w:rPr>
                <w:rFonts w:ascii="Times New Roman" w:hAnsi="Times New Roman" w:cs="Times New Roman"/>
                <w:sz w:val="24"/>
                <w:szCs w:val="24"/>
              </w:rPr>
              <w:t>С</w:t>
            </w:r>
            <w:proofErr w:type="gramEnd"/>
            <w:r w:rsidRPr="00B01C92">
              <w:rPr>
                <w:rFonts w:ascii="Times New Roman" w:hAnsi="Times New Roman" w:cs="Times New Roman"/>
                <w:sz w:val="24"/>
                <w:szCs w:val="24"/>
              </w:rPr>
              <w:t>уровые</w:t>
            </w:r>
            <w:proofErr w:type="spellEnd"/>
            <w:r w:rsidRPr="00B01C92">
              <w:rPr>
                <w:rFonts w:ascii="Times New Roman" w:hAnsi="Times New Roman" w:cs="Times New Roman"/>
                <w:sz w:val="24"/>
                <w:szCs w:val="24"/>
              </w:rPr>
              <w:t xml:space="preserve"> климатические условия, вечная мерзлота, холод казалось бы недостатки Якутии, но интерес к экстремальным видам туризма  привлекает  национальным колоритом подлёдной рыбалкой на реках и озерах Якутии. Отличие моей республики, я думаю, состоит в традициях, языке, а именно в национальной охоте и рыбалке. </w:t>
            </w:r>
          </w:p>
          <w:p w:rsidR="00B01C92" w:rsidRPr="00B01C92" w:rsidRDefault="00B01C92" w:rsidP="002F3F9D">
            <w:pPr>
              <w:spacing w:line="240" w:lineRule="auto"/>
              <w:jc w:val="both"/>
              <w:rPr>
                <w:rFonts w:ascii="Times New Roman" w:hAnsi="Times New Roman" w:cs="Times New Roman"/>
                <w:sz w:val="24"/>
                <w:szCs w:val="24"/>
              </w:rPr>
            </w:pPr>
            <w:r w:rsidRPr="00B01C92">
              <w:rPr>
                <w:rFonts w:ascii="Times New Roman" w:hAnsi="Times New Roman" w:cs="Times New Roman"/>
                <w:sz w:val="24"/>
                <w:szCs w:val="24"/>
              </w:rPr>
              <w:t xml:space="preserve">Испокон веков наш народ сохранил традицию – </w:t>
            </w:r>
            <w:proofErr w:type="spellStart"/>
            <w:r w:rsidRPr="00B01C92">
              <w:rPr>
                <w:rFonts w:ascii="Times New Roman" w:hAnsi="Times New Roman" w:cs="Times New Roman"/>
                <w:sz w:val="24"/>
                <w:szCs w:val="24"/>
              </w:rPr>
              <w:t>мунха</w:t>
            </w:r>
            <w:proofErr w:type="spellEnd"/>
            <w:r w:rsidRPr="00B01C92">
              <w:rPr>
                <w:rFonts w:ascii="Times New Roman" w:hAnsi="Times New Roman" w:cs="Times New Roman"/>
                <w:sz w:val="24"/>
                <w:szCs w:val="24"/>
              </w:rPr>
              <w:t xml:space="preserve">. В настоящее время в наслегах проводятся </w:t>
            </w:r>
            <w:proofErr w:type="gramStart"/>
            <w:r w:rsidRPr="00B01C92">
              <w:rPr>
                <w:rFonts w:ascii="Times New Roman" w:hAnsi="Times New Roman" w:cs="Times New Roman"/>
                <w:sz w:val="24"/>
                <w:szCs w:val="24"/>
              </w:rPr>
              <w:t>организованные</w:t>
            </w:r>
            <w:proofErr w:type="gramEnd"/>
            <w:r w:rsidRPr="00B01C92">
              <w:rPr>
                <w:rFonts w:ascii="Times New Roman" w:hAnsi="Times New Roman" w:cs="Times New Roman"/>
                <w:sz w:val="24"/>
                <w:szCs w:val="24"/>
              </w:rPr>
              <w:t xml:space="preserve"> </w:t>
            </w:r>
            <w:proofErr w:type="spellStart"/>
            <w:r w:rsidRPr="00B01C92">
              <w:rPr>
                <w:rFonts w:ascii="Times New Roman" w:hAnsi="Times New Roman" w:cs="Times New Roman"/>
                <w:sz w:val="24"/>
                <w:szCs w:val="24"/>
              </w:rPr>
              <w:t>мунха</w:t>
            </w:r>
            <w:proofErr w:type="spellEnd"/>
            <w:r w:rsidRPr="00B01C92">
              <w:rPr>
                <w:rFonts w:ascii="Times New Roman" w:hAnsi="Times New Roman" w:cs="Times New Roman"/>
                <w:sz w:val="24"/>
                <w:szCs w:val="24"/>
              </w:rPr>
              <w:t>.</w:t>
            </w:r>
          </w:p>
          <w:p w:rsidR="00B01C92" w:rsidRPr="00B01C92" w:rsidRDefault="00B01C92" w:rsidP="002F3F9D">
            <w:pPr>
              <w:spacing w:line="240" w:lineRule="auto"/>
              <w:jc w:val="both"/>
              <w:rPr>
                <w:rFonts w:ascii="Times New Roman" w:hAnsi="Times New Roman" w:cs="Times New Roman"/>
                <w:sz w:val="24"/>
                <w:szCs w:val="24"/>
              </w:rPr>
            </w:pPr>
            <w:proofErr w:type="spellStart"/>
            <w:r w:rsidRPr="00B01C92">
              <w:rPr>
                <w:rFonts w:ascii="Times New Roman" w:hAnsi="Times New Roman" w:cs="Times New Roman"/>
                <w:sz w:val="24"/>
                <w:szCs w:val="24"/>
              </w:rPr>
              <w:t>Мунха</w:t>
            </w:r>
            <w:proofErr w:type="spellEnd"/>
            <w:r w:rsidRPr="00B01C92">
              <w:rPr>
                <w:rFonts w:ascii="Times New Roman" w:hAnsi="Times New Roman" w:cs="Times New Roman"/>
                <w:sz w:val="24"/>
                <w:szCs w:val="24"/>
              </w:rPr>
              <w:t xml:space="preserve"> – традиция якутского народа, эта традиция помогла выжить многим поколениям </w:t>
            </w:r>
            <w:proofErr w:type="spellStart"/>
            <w:r w:rsidRPr="00B01C92">
              <w:rPr>
                <w:rFonts w:ascii="Times New Roman" w:hAnsi="Times New Roman" w:cs="Times New Roman"/>
                <w:sz w:val="24"/>
                <w:szCs w:val="24"/>
              </w:rPr>
              <w:t>саха</w:t>
            </w:r>
            <w:proofErr w:type="spellEnd"/>
            <w:r w:rsidRPr="00B01C92">
              <w:rPr>
                <w:rFonts w:ascii="Times New Roman" w:hAnsi="Times New Roman" w:cs="Times New Roman"/>
                <w:sz w:val="24"/>
                <w:szCs w:val="24"/>
              </w:rPr>
              <w:t xml:space="preserve">. Одна из особенностей национального характера никого не оставлять в беде и делиться последним добытым. </w:t>
            </w:r>
          </w:p>
          <w:p w:rsidR="00B01C92" w:rsidRDefault="00B01C92" w:rsidP="002F3F9D">
            <w:pPr>
              <w:spacing w:line="240" w:lineRule="auto"/>
              <w:jc w:val="both"/>
              <w:rPr>
                <w:rFonts w:ascii="Times New Roman" w:hAnsi="Times New Roman" w:cs="Times New Roman"/>
                <w:sz w:val="24"/>
                <w:szCs w:val="24"/>
              </w:rPr>
            </w:pPr>
            <w:r w:rsidRPr="00B01C92">
              <w:rPr>
                <w:rFonts w:ascii="Times New Roman" w:hAnsi="Times New Roman" w:cs="Times New Roman"/>
                <w:sz w:val="24"/>
                <w:szCs w:val="24"/>
              </w:rPr>
              <w:t xml:space="preserve">Хочу  внести предложение прибавить к неповторимому и оригинальному образу нашей республики, не забывая исторического прошлого бренд – образ </w:t>
            </w:r>
            <w:proofErr w:type="spellStart"/>
            <w:r w:rsidRPr="00B01C92">
              <w:rPr>
                <w:rFonts w:ascii="Times New Roman" w:hAnsi="Times New Roman" w:cs="Times New Roman"/>
                <w:sz w:val="24"/>
                <w:szCs w:val="24"/>
              </w:rPr>
              <w:t>мунхи</w:t>
            </w:r>
            <w:proofErr w:type="spellEnd"/>
            <w:r w:rsidRPr="00B01C92">
              <w:rPr>
                <w:rFonts w:ascii="Times New Roman" w:hAnsi="Times New Roman" w:cs="Times New Roman"/>
                <w:sz w:val="24"/>
                <w:szCs w:val="24"/>
              </w:rPr>
              <w:t>. Осязаемый образ создается вследствие восприятия чувств и складывается из того, что можно увидеть, услышать, почувствовать, вдохнуть, потрогать</w:t>
            </w:r>
            <w:r w:rsidR="00050C01">
              <w:rPr>
                <w:rFonts w:ascii="Times New Roman" w:hAnsi="Times New Roman" w:cs="Times New Roman"/>
                <w:sz w:val="24"/>
                <w:szCs w:val="24"/>
              </w:rPr>
              <w:t>!</w:t>
            </w:r>
          </w:p>
          <w:p w:rsidR="00050C01" w:rsidRPr="00050C01" w:rsidRDefault="00050C01" w:rsidP="002F3F9D">
            <w:pPr>
              <w:spacing w:after="0" w:line="240" w:lineRule="auto"/>
              <w:jc w:val="both"/>
              <w:rPr>
                <w:rFonts w:ascii="Times New Roman" w:eastAsia="Times New Roman" w:hAnsi="Times New Roman" w:cs="Times New Roman"/>
                <w:b/>
                <w:sz w:val="24"/>
                <w:szCs w:val="24"/>
              </w:rPr>
            </w:pPr>
            <w:r w:rsidRPr="00050C01">
              <w:rPr>
                <w:rFonts w:ascii="Times New Roman" w:eastAsia="Times New Roman" w:hAnsi="Times New Roman" w:cs="Times New Roman"/>
                <w:b/>
                <w:sz w:val="24"/>
                <w:szCs w:val="24"/>
              </w:rPr>
              <w:t>Список использованной литературы:</w:t>
            </w:r>
          </w:p>
          <w:p w:rsidR="00050C01" w:rsidRPr="00050C01" w:rsidRDefault="00050C01" w:rsidP="002F3F9D">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50C01">
              <w:rPr>
                <w:rFonts w:ascii="Times New Roman" w:eastAsia="Times New Roman" w:hAnsi="Times New Roman" w:cs="Times New Roman"/>
                <w:sz w:val="24"/>
                <w:szCs w:val="24"/>
              </w:rPr>
              <w:t xml:space="preserve">Концепция </w:t>
            </w:r>
            <w:proofErr w:type="spellStart"/>
            <w:r w:rsidRPr="00050C01">
              <w:rPr>
                <w:rFonts w:ascii="Times New Roman" w:eastAsia="Times New Roman" w:hAnsi="Times New Roman" w:cs="Times New Roman"/>
                <w:sz w:val="24"/>
                <w:szCs w:val="24"/>
              </w:rPr>
              <w:t>имиджевой</w:t>
            </w:r>
            <w:proofErr w:type="spellEnd"/>
            <w:r w:rsidRPr="00050C01">
              <w:rPr>
                <w:rFonts w:ascii="Times New Roman" w:eastAsia="Times New Roman" w:hAnsi="Times New Roman" w:cs="Times New Roman"/>
                <w:sz w:val="24"/>
                <w:szCs w:val="24"/>
              </w:rPr>
              <w:t xml:space="preserve"> политики Республики Саха (Якутия) на 2012-2020 годы. </w:t>
            </w:r>
            <w:hyperlink r:id="rId6">
              <w:r w:rsidRPr="00050C01">
                <w:rPr>
                  <w:rFonts w:ascii="Times New Roman" w:eastAsia="Times New Roman" w:hAnsi="Times New Roman" w:cs="Times New Roman"/>
                  <w:color w:val="0000FF"/>
                  <w:sz w:val="24"/>
                  <w:szCs w:val="24"/>
                  <w:u w:val="single"/>
                </w:rPr>
                <w:t>http://www.garant.ru/hotlaw/yakut/358212/</w:t>
              </w:r>
            </w:hyperlink>
          </w:p>
          <w:p w:rsidR="00050C01" w:rsidRPr="00050C01" w:rsidRDefault="00050C01" w:rsidP="002F3F9D">
            <w:pPr>
              <w:spacing w:line="240" w:lineRule="auto"/>
              <w:ind w:left="142" w:right="1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050C01">
              <w:rPr>
                <w:rFonts w:ascii="Times New Roman" w:eastAsia="Times New Roman" w:hAnsi="Times New Roman" w:cs="Times New Roman"/>
                <w:sz w:val="24"/>
                <w:szCs w:val="24"/>
              </w:rPr>
              <w:t xml:space="preserve">Инвестиционная привлекательность </w:t>
            </w:r>
            <w:proofErr w:type="spellStart"/>
            <w:r w:rsidRPr="00050C01">
              <w:rPr>
                <w:rFonts w:ascii="Times New Roman" w:eastAsia="Times New Roman" w:hAnsi="Times New Roman" w:cs="Times New Roman"/>
                <w:sz w:val="24"/>
                <w:szCs w:val="24"/>
              </w:rPr>
              <w:t>регионов.kapital-rus.ru</w:t>
            </w:r>
            <w:proofErr w:type="spellEnd"/>
            <w:r w:rsidRPr="00050C01">
              <w:rPr>
                <w:rFonts w:ascii="Times New Roman" w:eastAsia="Times New Roman" w:hAnsi="Times New Roman" w:cs="Times New Roman"/>
                <w:sz w:val="24"/>
                <w:szCs w:val="24"/>
              </w:rPr>
              <w:t>›</w:t>
            </w:r>
            <w:proofErr w:type="spellStart"/>
            <w:r w:rsidRPr="00050C01">
              <w:rPr>
                <w:rFonts w:ascii="Times New Roman" w:eastAsia="Times New Roman" w:hAnsi="Times New Roman" w:cs="Times New Roman"/>
                <w:sz w:val="24"/>
                <w:szCs w:val="24"/>
              </w:rPr>
              <w:t>articles</w:t>
            </w:r>
            <w:proofErr w:type="spellEnd"/>
            <w:r w:rsidRPr="00050C01">
              <w:rPr>
                <w:rFonts w:ascii="Times New Roman" w:eastAsia="Times New Roman" w:hAnsi="Times New Roman" w:cs="Times New Roman"/>
                <w:sz w:val="24"/>
                <w:szCs w:val="24"/>
              </w:rPr>
              <w:t>/</w:t>
            </w:r>
            <w:proofErr w:type="spellStart"/>
            <w:r w:rsidRPr="00050C01">
              <w:rPr>
                <w:rFonts w:ascii="Times New Roman" w:eastAsia="Times New Roman" w:hAnsi="Times New Roman" w:cs="Times New Roman"/>
                <w:sz w:val="24"/>
                <w:szCs w:val="24"/>
              </w:rPr>
              <w:t>article</w:t>
            </w:r>
            <w:proofErr w:type="spellEnd"/>
            <w:r w:rsidRPr="00050C01">
              <w:rPr>
                <w:rFonts w:ascii="Times New Roman" w:eastAsia="Times New Roman" w:hAnsi="Times New Roman" w:cs="Times New Roman"/>
                <w:sz w:val="24"/>
                <w:szCs w:val="24"/>
              </w:rPr>
              <w:t>/1036/</w:t>
            </w:r>
          </w:p>
          <w:p w:rsidR="00050C01" w:rsidRPr="00050C01" w:rsidRDefault="00050C01" w:rsidP="002F3F9D">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50C01">
              <w:rPr>
                <w:rFonts w:ascii="Times New Roman" w:eastAsia="Times New Roman" w:hAnsi="Times New Roman" w:cs="Times New Roman"/>
                <w:sz w:val="24"/>
                <w:szCs w:val="24"/>
              </w:rPr>
              <w:t xml:space="preserve">Республика Саха Якутия. </w:t>
            </w:r>
            <w:hyperlink r:id="rId7">
              <w:r w:rsidRPr="00050C01">
                <w:rPr>
                  <w:rFonts w:ascii="Times New Roman" w:eastAsia="Times New Roman" w:hAnsi="Times New Roman" w:cs="Times New Roman"/>
                  <w:color w:val="0000FF"/>
                  <w:sz w:val="24"/>
                  <w:szCs w:val="24"/>
                  <w:u w:val="single"/>
                </w:rPr>
                <w:t>http://sakha.gov.ru/</w:t>
              </w:r>
            </w:hyperlink>
          </w:p>
          <w:p w:rsidR="00050C01" w:rsidRPr="00050C01" w:rsidRDefault="00050C01" w:rsidP="002F3F9D">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50C01">
              <w:rPr>
                <w:rFonts w:ascii="Times New Roman" w:eastAsia="Times New Roman" w:hAnsi="Times New Roman" w:cs="Times New Roman"/>
                <w:sz w:val="24"/>
                <w:szCs w:val="24"/>
              </w:rPr>
              <w:t>sakha.news федеральный информационный портал</w:t>
            </w:r>
          </w:p>
          <w:p w:rsidR="00050C01" w:rsidRPr="00050C01" w:rsidRDefault="00050C01" w:rsidP="002F3F9D">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50C01">
              <w:rPr>
                <w:rFonts w:ascii="Times New Roman" w:eastAsia="Times New Roman" w:hAnsi="Times New Roman" w:cs="Times New Roman"/>
                <w:sz w:val="24"/>
                <w:szCs w:val="24"/>
              </w:rPr>
              <w:t>Республика Саха Якутия. Саха Республиката.ru.wikipedia.org›Якутия</w:t>
            </w:r>
          </w:p>
          <w:p w:rsidR="00050C01" w:rsidRPr="00B01C92" w:rsidRDefault="00050C01" w:rsidP="002F3F9D">
            <w:pPr>
              <w:spacing w:line="240" w:lineRule="auto"/>
              <w:jc w:val="both"/>
              <w:rPr>
                <w:sz w:val="24"/>
                <w:szCs w:val="24"/>
              </w:rPr>
            </w:pPr>
          </w:p>
        </w:tc>
      </w:tr>
    </w:tbl>
    <w:p w:rsidR="00B01C92" w:rsidRDefault="00B01C92" w:rsidP="002F3F9D">
      <w:pPr>
        <w:spacing w:after="0" w:line="240" w:lineRule="auto"/>
        <w:jc w:val="both"/>
        <w:rPr>
          <w:rFonts w:ascii="Times New Roman" w:eastAsia="Times New Roman" w:hAnsi="Times New Roman" w:cs="Times New Roman"/>
          <w:color w:val="000000"/>
          <w:sz w:val="24"/>
          <w:szCs w:val="24"/>
        </w:rPr>
      </w:pPr>
      <w:r w:rsidRPr="00B01C92">
        <w:rPr>
          <w:rFonts w:ascii="Times New Roman" w:eastAsia="Times New Roman" w:hAnsi="Times New Roman" w:cs="Times New Roman"/>
          <w:color w:val="000000"/>
          <w:sz w:val="24"/>
          <w:szCs w:val="24"/>
        </w:rPr>
        <w:lastRenderedPageBreak/>
        <w:t> </w:t>
      </w: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0F443D" w:rsidRDefault="000F443D" w:rsidP="002F3F9D">
      <w:pPr>
        <w:spacing w:line="240" w:lineRule="auto"/>
        <w:jc w:val="center"/>
        <w:rPr>
          <w:rFonts w:ascii="Times New Roman" w:eastAsia="Times New Roman" w:hAnsi="Times New Roman" w:cs="Times New Roman"/>
          <w:b/>
          <w:spacing w:val="-4"/>
          <w:sz w:val="24"/>
          <w:szCs w:val="24"/>
        </w:rPr>
      </w:pPr>
    </w:p>
    <w:p w:rsidR="00B01C92" w:rsidRPr="003A553D" w:rsidRDefault="002F3F9D" w:rsidP="002F3F9D">
      <w:pPr>
        <w:spacing w:line="240" w:lineRule="auto"/>
        <w:jc w:val="center"/>
        <w:rPr>
          <w:rFonts w:ascii="Times New Roman" w:eastAsia="Times New Roman" w:hAnsi="Times New Roman" w:cs="Times New Roman"/>
          <w:b/>
          <w:spacing w:val="-4"/>
          <w:sz w:val="28"/>
          <w:szCs w:val="28"/>
        </w:rPr>
      </w:pPr>
      <w:r w:rsidRPr="00B01C92">
        <w:rPr>
          <w:rFonts w:ascii="Times New Roman" w:eastAsia="Times New Roman" w:hAnsi="Times New Roman" w:cs="Times New Roman"/>
          <w:b/>
          <w:spacing w:val="-4"/>
          <w:sz w:val="24"/>
          <w:szCs w:val="24"/>
        </w:rPr>
        <w:lastRenderedPageBreak/>
        <w:t xml:space="preserve"> </w:t>
      </w:r>
      <w:r w:rsidR="00B01C92" w:rsidRPr="00B01C92">
        <w:rPr>
          <w:rFonts w:ascii="Times New Roman" w:eastAsia="Times New Roman" w:hAnsi="Times New Roman" w:cs="Times New Roman"/>
          <w:b/>
          <w:spacing w:val="-4"/>
          <w:sz w:val="24"/>
          <w:szCs w:val="24"/>
        </w:rPr>
        <w:t>«Использование альтернативных источников энергии как экологического метода утилизации бытовых отходов</w:t>
      </w:r>
      <w:r w:rsidR="00B01C92" w:rsidRPr="003A553D">
        <w:rPr>
          <w:rFonts w:ascii="Times New Roman" w:eastAsia="Times New Roman" w:hAnsi="Times New Roman" w:cs="Times New Roman"/>
          <w:b/>
          <w:spacing w:val="-4"/>
          <w:sz w:val="28"/>
          <w:szCs w:val="28"/>
        </w:rPr>
        <w:t>»</w:t>
      </w:r>
    </w:p>
    <w:p w:rsidR="00B01C92" w:rsidRPr="00B01C92" w:rsidRDefault="00B01C92" w:rsidP="002F3F9D">
      <w:pPr>
        <w:spacing w:line="240" w:lineRule="auto"/>
        <w:jc w:val="right"/>
        <w:rPr>
          <w:rFonts w:ascii="Times New Roman" w:eastAsia="Times New Roman" w:hAnsi="Times New Roman" w:cs="Times New Roman"/>
          <w:spacing w:val="-4"/>
          <w:sz w:val="24"/>
          <w:szCs w:val="24"/>
        </w:rPr>
      </w:pPr>
      <w:r w:rsidRPr="00B01C92">
        <w:rPr>
          <w:rFonts w:ascii="Times New Roman" w:eastAsia="Times New Roman" w:hAnsi="Times New Roman" w:cs="Times New Roman"/>
          <w:spacing w:val="-4"/>
          <w:sz w:val="24"/>
          <w:szCs w:val="24"/>
        </w:rPr>
        <w:t>Кондратьев Семен Иннокентьевич</w:t>
      </w:r>
    </w:p>
    <w:p w:rsidR="00B01C92" w:rsidRPr="00B01C92" w:rsidRDefault="00B01C92" w:rsidP="002F3F9D">
      <w:pPr>
        <w:spacing w:line="240" w:lineRule="auto"/>
        <w:jc w:val="right"/>
        <w:rPr>
          <w:rFonts w:ascii="Times New Roman" w:eastAsia="Times New Roman" w:hAnsi="Times New Roman" w:cs="Times New Roman"/>
          <w:spacing w:val="-4"/>
          <w:sz w:val="24"/>
          <w:szCs w:val="24"/>
        </w:rPr>
      </w:pPr>
      <w:r w:rsidRPr="00B01C92">
        <w:rPr>
          <w:rFonts w:ascii="Times New Roman" w:eastAsia="Times New Roman" w:hAnsi="Times New Roman" w:cs="Times New Roman"/>
          <w:spacing w:val="-4"/>
          <w:sz w:val="24"/>
          <w:szCs w:val="24"/>
        </w:rPr>
        <w:t>студент 1 курса группы</w:t>
      </w:r>
    </w:p>
    <w:p w:rsidR="00B01C92" w:rsidRPr="00B01C92" w:rsidRDefault="00B01C92" w:rsidP="002F3F9D">
      <w:pPr>
        <w:spacing w:line="240" w:lineRule="auto"/>
        <w:jc w:val="right"/>
        <w:rPr>
          <w:rFonts w:ascii="Times New Roman" w:eastAsia="Times New Roman" w:hAnsi="Times New Roman" w:cs="Times New Roman"/>
          <w:spacing w:val="-4"/>
          <w:sz w:val="24"/>
          <w:szCs w:val="24"/>
        </w:rPr>
      </w:pPr>
      <w:r w:rsidRPr="00B01C92">
        <w:rPr>
          <w:rFonts w:ascii="Times New Roman" w:eastAsia="Times New Roman" w:hAnsi="Times New Roman" w:cs="Times New Roman"/>
          <w:spacing w:val="-4"/>
          <w:sz w:val="24"/>
          <w:szCs w:val="24"/>
        </w:rPr>
        <w:t xml:space="preserve"> «Монтаж, эксплуатация </w:t>
      </w:r>
    </w:p>
    <w:p w:rsidR="00B01C92" w:rsidRPr="00B01C92" w:rsidRDefault="00B01C92" w:rsidP="002F3F9D">
      <w:pPr>
        <w:spacing w:line="240" w:lineRule="auto"/>
        <w:jc w:val="right"/>
        <w:rPr>
          <w:rFonts w:ascii="Times New Roman" w:eastAsia="Times New Roman" w:hAnsi="Times New Roman" w:cs="Times New Roman"/>
          <w:spacing w:val="-4"/>
          <w:sz w:val="24"/>
          <w:szCs w:val="24"/>
        </w:rPr>
      </w:pPr>
      <w:r w:rsidRPr="00B01C92">
        <w:rPr>
          <w:rFonts w:ascii="Times New Roman" w:eastAsia="Times New Roman" w:hAnsi="Times New Roman" w:cs="Times New Roman"/>
          <w:spacing w:val="-4"/>
          <w:sz w:val="24"/>
          <w:szCs w:val="24"/>
        </w:rPr>
        <w:t>оборудования и систем газоснабжения»</w:t>
      </w:r>
    </w:p>
    <w:p w:rsidR="00B01C92" w:rsidRPr="00B01C92" w:rsidRDefault="002F3F9D" w:rsidP="002F3F9D">
      <w:pPr>
        <w:spacing w:line="240" w:lineRule="auto"/>
        <w:jc w:val="right"/>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Научный р</w:t>
      </w:r>
      <w:r w:rsidR="00B01C92" w:rsidRPr="00B01C92">
        <w:rPr>
          <w:rFonts w:ascii="Times New Roman" w:eastAsia="Times New Roman" w:hAnsi="Times New Roman" w:cs="Times New Roman"/>
          <w:spacing w:val="-4"/>
          <w:sz w:val="24"/>
          <w:szCs w:val="24"/>
        </w:rPr>
        <w:t>уководитель</w:t>
      </w:r>
      <w:proofErr w:type="gramStart"/>
      <w:r w:rsidR="00B01C92" w:rsidRPr="00B01C92">
        <w:rPr>
          <w:rFonts w:ascii="Times New Roman" w:eastAsia="Times New Roman" w:hAnsi="Times New Roman" w:cs="Times New Roman"/>
          <w:spacing w:val="-4"/>
          <w:sz w:val="24"/>
          <w:szCs w:val="24"/>
        </w:rPr>
        <w:t xml:space="preserve"> :</w:t>
      </w:r>
      <w:proofErr w:type="gramEnd"/>
    </w:p>
    <w:p w:rsidR="00B01C92" w:rsidRPr="00B01C92" w:rsidRDefault="00B01C92" w:rsidP="002F3F9D">
      <w:pPr>
        <w:spacing w:line="240" w:lineRule="auto"/>
        <w:jc w:val="right"/>
        <w:rPr>
          <w:rFonts w:ascii="Times New Roman" w:eastAsia="Times New Roman" w:hAnsi="Times New Roman" w:cs="Times New Roman"/>
          <w:spacing w:val="-4"/>
          <w:sz w:val="24"/>
          <w:szCs w:val="24"/>
        </w:rPr>
      </w:pPr>
      <w:r w:rsidRPr="00B01C92">
        <w:rPr>
          <w:rFonts w:ascii="Times New Roman" w:eastAsia="Times New Roman" w:hAnsi="Times New Roman" w:cs="Times New Roman"/>
          <w:spacing w:val="-4"/>
          <w:sz w:val="24"/>
          <w:szCs w:val="24"/>
        </w:rPr>
        <w:t xml:space="preserve">Миронова </w:t>
      </w:r>
      <w:proofErr w:type="spellStart"/>
      <w:r w:rsidRPr="00B01C92">
        <w:rPr>
          <w:rFonts w:ascii="Times New Roman" w:eastAsia="Times New Roman" w:hAnsi="Times New Roman" w:cs="Times New Roman"/>
          <w:spacing w:val="-4"/>
          <w:sz w:val="24"/>
          <w:szCs w:val="24"/>
        </w:rPr>
        <w:t>Сардана</w:t>
      </w:r>
      <w:proofErr w:type="spellEnd"/>
      <w:r w:rsidRPr="00B01C92">
        <w:rPr>
          <w:rFonts w:ascii="Times New Roman" w:eastAsia="Times New Roman" w:hAnsi="Times New Roman" w:cs="Times New Roman"/>
          <w:spacing w:val="-4"/>
          <w:sz w:val="24"/>
          <w:szCs w:val="24"/>
        </w:rPr>
        <w:t xml:space="preserve"> Михайловна</w:t>
      </w:r>
    </w:p>
    <w:p w:rsidR="00B01C92" w:rsidRPr="00B01C92" w:rsidRDefault="00B01C92" w:rsidP="002F3F9D">
      <w:pPr>
        <w:spacing w:line="240" w:lineRule="auto"/>
        <w:jc w:val="right"/>
        <w:rPr>
          <w:rFonts w:ascii="Times New Roman" w:eastAsia="Times New Roman" w:hAnsi="Times New Roman" w:cs="Times New Roman"/>
          <w:spacing w:val="-4"/>
          <w:sz w:val="24"/>
          <w:szCs w:val="24"/>
        </w:rPr>
      </w:pPr>
      <w:r w:rsidRPr="00B01C92">
        <w:rPr>
          <w:rFonts w:ascii="Times New Roman" w:eastAsia="Times New Roman" w:hAnsi="Times New Roman" w:cs="Times New Roman"/>
          <w:spacing w:val="-4"/>
          <w:sz w:val="24"/>
          <w:szCs w:val="24"/>
        </w:rPr>
        <w:t>Преподаватель общетехнических дисциплин</w:t>
      </w:r>
    </w:p>
    <w:p w:rsidR="0091335F" w:rsidRDefault="0091335F" w:rsidP="002F3F9D">
      <w:pPr>
        <w:spacing w:line="240" w:lineRule="auto"/>
        <w:jc w:val="both"/>
        <w:rPr>
          <w:rFonts w:ascii="Times New Roman" w:hAnsi="Times New Roman" w:cs="Times New Roman"/>
          <w:b/>
          <w:sz w:val="24"/>
          <w:szCs w:val="24"/>
        </w:rPr>
      </w:pPr>
    </w:p>
    <w:p w:rsidR="00D41CF6" w:rsidRPr="00D41CF6" w:rsidRDefault="00D41CF6" w:rsidP="002F3F9D">
      <w:pPr>
        <w:spacing w:line="240" w:lineRule="auto"/>
        <w:jc w:val="both"/>
        <w:rPr>
          <w:rFonts w:ascii="Times New Roman" w:hAnsi="Times New Roman" w:cs="Times New Roman"/>
          <w:b/>
          <w:sz w:val="24"/>
          <w:szCs w:val="24"/>
        </w:rPr>
      </w:pPr>
      <w:r w:rsidRPr="00D41CF6">
        <w:rPr>
          <w:rFonts w:ascii="Times New Roman" w:hAnsi="Times New Roman" w:cs="Times New Roman"/>
          <w:b/>
          <w:sz w:val="24"/>
          <w:szCs w:val="24"/>
        </w:rPr>
        <w:t>Введение</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u w:val="single"/>
        </w:rPr>
        <w:t>Актуальность:</w:t>
      </w:r>
      <w:r w:rsidRPr="00D41CF6">
        <w:rPr>
          <w:rFonts w:ascii="Times New Roman" w:hAnsi="Times New Roman" w:cs="Times New Roman"/>
          <w:sz w:val="24"/>
          <w:szCs w:val="24"/>
        </w:rPr>
        <w:t xml:space="preserve">  До эры агломераций утилизация отходов была облегчена благодаря, всасывающей способности окружающей среды: земли и воды. Крестьяне, отправляя свою продукцию с поля сразу к столу, обходясь без переработки, транспортировки, упаковки, рекламы и торговой сети, привносили мало отходов. Овощные очистки и тому подобное скармливалось или использовалось в виде навоза как удобрение почвы для урожая будущего года.       Увеличение населения города привело к совершенно иной потребительской структуре. Продукцию стали обменивать, а значит, упаковывать для большего удобства. Количество накапливающегося мусора постоянно растет. Сейчас на каждого человека приходится от 150 до 600 кг в год.  Да, количество отходов в городах намного больше, чем в сельской местности, но там и больше обращается внимания на этот вопрос.(1)</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Тема актуальна в связи с тем, что  в настоящее время остро стоит вопрос загрязнения сточными фекальными отходами сельскохозяйственных угодий и бассейна речки </w:t>
      </w:r>
      <w:proofErr w:type="spellStart"/>
      <w:r w:rsidRPr="00D41CF6">
        <w:rPr>
          <w:rFonts w:ascii="Times New Roman" w:hAnsi="Times New Roman" w:cs="Times New Roman"/>
          <w:sz w:val="24"/>
          <w:szCs w:val="24"/>
        </w:rPr>
        <w:t>Нюрбинка</w:t>
      </w:r>
      <w:proofErr w:type="spellEnd"/>
      <w:r w:rsidRPr="00D41CF6">
        <w:rPr>
          <w:rFonts w:ascii="Times New Roman" w:hAnsi="Times New Roman" w:cs="Times New Roman"/>
          <w:sz w:val="24"/>
          <w:szCs w:val="24"/>
        </w:rPr>
        <w:t xml:space="preserve">, которая попадает в реку Вилюй. </w:t>
      </w:r>
      <w:r w:rsidRPr="00D41CF6">
        <w:rPr>
          <w:rFonts w:ascii="Times New Roman" w:eastAsia="Times New Roman" w:hAnsi="Times New Roman" w:cs="Times New Roman"/>
          <w:sz w:val="24"/>
          <w:szCs w:val="24"/>
        </w:rPr>
        <w:t xml:space="preserve">Защита окружающей среды от загрязнения твердыми и жидкими коммунальными отходами  является одной из главных экологических проблем города Нюрба. Размещение твердых и жидких коммунальных отходов на полигонах имеет ряд существенных недостатков: длительное отчуждение земель, загрязнение поверхностных и  грунтовых вод, эмиссия  парниковых и токсичных газов, безвозвратная потеря вторичного сырья. </w:t>
      </w:r>
      <w:r w:rsidRPr="00D41CF6">
        <w:rPr>
          <w:rFonts w:ascii="Times New Roman" w:hAnsi="Times New Roman" w:cs="Times New Roman"/>
          <w:sz w:val="24"/>
          <w:szCs w:val="24"/>
        </w:rPr>
        <w:t xml:space="preserve">Решением этой проблемы является применение малых </w:t>
      </w:r>
      <w:proofErr w:type="spellStart"/>
      <w:r w:rsidRPr="00D41CF6">
        <w:rPr>
          <w:rFonts w:ascii="Times New Roman" w:hAnsi="Times New Roman" w:cs="Times New Roman"/>
          <w:sz w:val="24"/>
          <w:szCs w:val="24"/>
        </w:rPr>
        <w:t>биогазовых</w:t>
      </w:r>
      <w:proofErr w:type="spellEnd"/>
      <w:r w:rsidRPr="00D41CF6">
        <w:rPr>
          <w:rFonts w:ascii="Times New Roman" w:hAnsi="Times New Roman" w:cs="Times New Roman"/>
          <w:sz w:val="24"/>
          <w:szCs w:val="24"/>
        </w:rPr>
        <w:t xml:space="preserve"> установок в г</w:t>
      </w:r>
      <w:proofErr w:type="gramStart"/>
      <w:r w:rsidRPr="00D41CF6">
        <w:rPr>
          <w:rFonts w:ascii="Times New Roman" w:hAnsi="Times New Roman" w:cs="Times New Roman"/>
          <w:sz w:val="24"/>
          <w:szCs w:val="24"/>
        </w:rPr>
        <w:t>.Н</w:t>
      </w:r>
      <w:proofErr w:type="gramEnd"/>
      <w:r w:rsidRPr="00D41CF6">
        <w:rPr>
          <w:rFonts w:ascii="Times New Roman" w:hAnsi="Times New Roman" w:cs="Times New Roman"/>
          <w:sz w:val="24"/>
          <w:szCs w:val="24"/>
        </w:rPr>
        <w:t>юрба.</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В</w:t>
      </w:r>
      <w:r w:rsidRPr="00D41CF6">
        <w:rPr>
          <w:rFonts w:ascii="Times New Roman" w:hAnsi="Times New Roman" w:cs="Times New Roman"/>
          <w:i/>
          <w:sz w:val="24"/>
          <w:szCs w:val="24"/>
        </w:rPr>
        <w:t xml:space="preserve"> </w:t>
      </w:r>
      <w:r w:rsidRPr="00D41CF6">
        <w:rPr>
          <w:rFonts w:ascii="Times New Roman" w:hAnsi="Times New Roman" w:cs="Times New Roman"/>
          <w:sz w:val="24"/>
          <w:szCs w:val="24"/>
        </w:rPr>
        <w:t xml:space="preserve">данной работе рассматривается разработка наиболее экологически эффективных методов утилизации бытовых отходов, на  примере малых </w:t>
      </w:r>
      <w:proofErr w:type="spellStart"/>
      <w:r w:rsidRPr="00D41CF6">
        <w:rPr>
          <w:rFonts w:ascii="Times New Roman" w:hAnsi="Times New Roman" w:cs="Times New Roman"/>
          <w:sz w:val="24"/>
          <w:szCs w:val="24"/>
        </w:rPr>
        <w:t>биогазовых</w:t>
      </w:r>
      <w:proofErr w:type="spellEnd"/>
      <w:r w:rsidRPr="00D41CF6">
        <w:rPr>
          <w:rFonts w:ascii="Times New Roman" w:hAnsi="Times New Roman" w:cs="Times New Roman"/>
          <w:sz w:val="24"/>
          <w:szCs w:val="24"/>
        </w:rPr>
        <w:t xml:space="preserve"> установок в городе Нюрба.</w:t>
      </w:r>
    </w:p>
    <w:p w:rsidR="00D41CF6" w:rsidRPr="00D41CF6" w:rsidRDefault="00D41CF6" w:rsidP="002F3F9D">
      <w:pPr>
        <w:spacing w:line="240" w:lineRule="auto"/>
        <w:jc w:val="both"/>
        <w:rPr>
          <w:rFonts w:ascii="Times New Roman" w:hAnsi="Times New Roman" w:cs="Times New Roman"/>
          <w:sz w:val="24"/>
          <w:szCs w:val="24"/>
          <w:u w:val="single"/>
        </w:rPr>
      </w:pPr>
      <w:r w:rsidRPr="00D41CF6">
        <w:rPr>
          <w:rFonts w:ascii="Times New Roman" w:hAnsi="Times New Roman" w:cs="Times New Roman"/>
          <w:sz w:val="24"/>
          <w:szCs w:val="24"/>
          <w:u w:val="single"/>
        </w:rPr>
        <w:t xml:space="preserve">Гипотеза: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в весеннее время  и во время дождей стекает много ручьев, талая вода, которая, проходя через мусорные </w:t>
      </w:r>
      <w:proofErr w:type="gramStart"/>
      <w:r w:rsidRPr="00D41CF6">
        <w:rPr>
          <w:rFonts w:ascii="Times New Roman" w:hAnsi="Times New Roman" w:cs="Times New Roman"/>
          <w:sz w:val="24"/>
          <w:szCs w:val="24"/>
        </w:rPr>
        <w:t>отходы</w:t>
      </w:r>
      <w:proofErr w:type="gramEnd"/>
      <w:r w:rsidRPr="00D41CF6">
        <w:rPr>
          <w:rFonts w:ascii="Times New Roman" w:hAnsi="Times New Roman" w:cs="Times New Roman"/>
          <w:sz w:val="24"/>
          <w:szCs w:val="24"/>
        </w:rPr>
        <w:t xml:space="preserve"> уносит в речку </w:t>
      </w:r>
      <w:proofErr w:type="spellStart"/>
      <w:r w:rsidRPr="00D41CF6">
        <w:rPr>
          <w:rFonts w:ascii="Times New Roman" w:hAnsi="Times New Roman" w:cs="Times New Roman"/>
          <w:sz w:val="24"/>
          <w:szCs w:val="24"/>
        </w:rPr>
        <w:t>Нюрбинка</w:t>
      </w:r>
      <w:proofErr w:type="spellEnd"/>
      <w:r w:rsidRPr="00D41CF6">
        <w:rPr>
          <w:rFonts w:ascii="Times New Roman" w:hAnsi="Times New Roman" w:cs="Times New Roman"/>
          <w:sz w:val="24"/>
          <w:szCs w:val="24"/>
        </w:rPr>
        <w:t xml:space="preserve"> продукты разложения, которая является притоком реки Вилюй. Речная вода используется жителями поселка для хозяйственных нужд и для питья.  Вредные бактерии, попавшие в воду, могут привести к эпидемиям.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u w:val="single"/>
        </w:rPr>
        <w:lastRenderedPageBreak/>
        <w:t>Проблема:</w:t>
      </w:r>
      <w:r w:rsidRPr="00D41CF6">
        <w:rPr>
          <w:rFonts w:ascii="Times New Roman" w:hAnsi="Times New Roman" w:cs="Times New Roman"/>
          <w:sz w:val="24"/>
          <w:szCs w:val="24"/>
        </w:rPr>
        <w:t xml:space="preserve">  увеличение количества мусора в окрестностях г</w:t>
      </w:r>
      <w:proofErr w:type="gramStart"/>
      <w:r w:rsidRPr="00D41CF6">
        <w:rPr>
          <w:rFonts w:ascii="Times New Roman" w:hAnsi="Times New Roman" w:cs="Times New Roman"/>
          <w:sz w:val="24"/>
          <w:szCs w:val="24"/>
        </w:rPr>
        <w:t>.Н</w:t>
      </w:r>
      <w:proofErr w:type="gramEnd"/>
      <w:r w:rsidRPr="00D41CF6">
        <w:rPr>
          <w:rFonts w:ascii="Times New Roman" w:hAnsi="Times New Roman" w:cs="Times New Roman"/>
          <w:sz w:val="24"/>
          <w:szCs w:val="24"/>
        </w:rPr>
        <w:t>юрба может привести в ухудшению здоровья и  жизни населения и к отрицательному влиянию на окружающую природу.</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u w:val="single"/>
        </w:rPr>
        <w:t>Цель работы</w:t>
      </w:r>
      <w:r w:rsidRPr="00D41CF6">
        <w:rPr>
          <w:rFonts w:ascii="Times New Roman" w:hAnsi="Times New Roman" w:cs="Times New Roman"/>
          <w:sz w:val="24"/>
          <w:szCs w:val="24"/>
        </w:rPr>
        <w:t xml:space="preserve">: разработать проект применения малых </w:t>
      </w:r>
      <w:proofErr w:type="spellStart"/>
      <w:r w:rsidRPr="00D41CF6">
        <w:rPr>
          <w:rFonts w:ascii="Times New Roman" w:hAnsi="Times New Roman" w:cs="Times New Roman"/>
          <w:sz w:val="24"/>
          <w:szCs w:val="24"/>
        </w:rPr>
        <w:t>биогазовых</w:t>
      </w:r>
      <w:proofErr w:type="spellEnd"/>
      <w:r w:rsidRPr="00D41CF6">
        <w:rPr>
          <w:rFonts w:ascii="Times New Roman" w:hAnsi="Times New Roman" w:cs="Times New Roman"/>
          <w:sz w:val="24"/>
          <w:szCs w:val="24"/>
        </w:rPr>
        <w:t xml:space="preserve"> установок как экологически эффективного метода утилизации  бытовых отходов.</w:t>
      </w:r>
    </w:p>
    <w:p w:rsidR="00D41CF6" w:rsidRPr="00D41CF6" w:rsidRDefault="00D41CF6" w:rsidP="002F3F9D">
      <w:pPr>
        <w:spacing w:after="0" w:line="240" w:lineRule="auto"/>
        <w:jc w:val="both"/>
        <w:rPr>
          <w:rFonts w:ascii="Times New Roman" w:eastAsia="Times New Roman" w:hAnsi="Times New Roman" w:cs="Times New Roman"/>
          <w:sz w:val="24"/>
          <w:szCs w:val="24"/>
        </w:rPr>
      </w:pPr>
      <w:r w:rsidRPr="00D41CF6">
        <w:rPr>
          <w:rFonts w:ascii="Times New Roman" w:eastAsia="Times New Roman" w:hAnsi="Times New Roman" w:cs="Times New Roman"/>
          <w:sz w:val="24"/>
          <w:szCs w:val="24"/>
        </w:rPr>
        <w:t xml:space="preserve">Для достижения поставленной  цели необходимо решить следующие </w:t>
      </w:r>
      <w:r w:rsidRPr="00D41CF6">
        <w:rPr>
          <w:rFonts w:ascii="Times New Roman" w:eastAsia="Times New Roman" w:hAnsi="Times New Roman" w:cs="Times New Roman"/>
          <w:sz w:val="24"/>
          <w:szCs w:val="24"/>
          <w:u w:val="single"/>
        </w:rPr>
        <w:t>задачи</w:t>
      </w:r>
      <w:r w:rsidRPr="00D41CF6">
        <w:rPr>
          <w:rFonts w:ascii="Times New Roman" w:eastAsia="Times New Roman" w:hAnsi="Times New Roman" w:cs="Times New Roman"/>
          <w:sz w:val="24"/>
          <w:szCs w:val="24"/>
        </w:rPr>
        <w:t>:</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1. показать  разнообразие бытового и строительного мусора, встречающегося на городских и сельских свалках; его влияние на окружающую среду.</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2. определить проблемы утилизации мусора;</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3. определить экологически эффективные способы утилизации мусора и бытовых отходов в </w:t>
      </w:r>
      <w:proofErr w:type="gramStart"/>
      <w:r w:rsidRPr="00D41CF6">
        <w:rPr>
          <w:rFonts w:ascii="Times New Roman" w:hAnsi="Times New Roman" w:cs="Times New Roman"/>
          <w:sz w:val="24"/>
          <w:szCs w:val="24"/>
        </w:rPr>
        <w:t>г</w:t>
      </w:r>
      <w:proofErr w:type="gramEnd"/>
      <w:r w:rsidRPr="00D41CF6">
        <w:rPr>
          <w:rFonts w:ascii="Times New Roman" w:hAnsi="Times New Roman" w:cs="Times New Roman"/>
          <w:sz w:val="24"/>
          <w:szCs w:val="24"/>
        </w:rPr>
        <w:t>. Нюрба Республики Саха (Якутия)</w:t>
      </w:r>
    </w:p>
    <w:p w:rsidR="00D41CF6" w:rsidRPr="00D41CF6" w:rsidRDefault="00D41CF6" w:rsidP="002F3F9D">
      <w:pPr>
        <w:spacing w:line="240" w:lineRule="auto"/>
        <w:jc w:val="both"/>
        <w:rPr>
          <w:rFonts w:ascii="Times New Roman" w:hAnsi="Times New Roman" w:cs="Times New Roman"/>
          <w:b/>
          <w:sz w:val="24"/>
          <w:szCs w:val="24"/>
        </w:rPr>
      </w:pPr>
      <w:r w:rsidRPr="00D41CF6">
        <w:rPr>
          <w:rFonts w:ascii="Times New Roman" w:hAnsi="Times New Roman" w:cs="Times New Roman"/>
          <w:sz w:val="24"/>
          <w:szCs w:val="24"/>
        </w:rPr>
        <w:t xml:space="preserve">    </w:t>
      </w:r>
      <w:r w:rsidRPr="00D41CF6">
        <w:rPr>
          <w:rFonts w:ascii="Times New Roman" w:hAnsi="Times New Roman" w:cs="Times New Roman"/>
          <w:b/>
          <w:sz w:val="24"/>
          <w:szCs w:val="24"/>
        </w:rPr>
        <w:t xml:space="preserve">Пути решения проблем утилизации бытовых отходов: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1.Выбор оптимального места для полигона по утилизации бытовых отходов (общая свалка должна находиться за пределами города, не в водоносной зоне).</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2.Ликвидация мусора на несанкционированных свалках в пределах городской зоны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3.Контроль со стороны мэрии города Нюрба за процессом вывоза мусора населением поселка в установленное место. Установка штрафов за нарушения.</w:t>
      </w:r>
    </w:p>
    <w:p w:rsidR="00D41CF6" w:rsidRPr="00D41CF6" w:rsidRDefault="00D41CF6" w:rsidP="002F3F9D">
      <w:pPr>
        <w:spacing w:after="0"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4 Смешанный раздельный сбор и транспортировка коммунальных (твердых и жидких бытовых отходов). Сортировка бытовых отходов в сборных контейнерах по принципу разложения на </w:t>
      </w:r>
      <w:proofErr w:type="spellStart"/>
      <w:r w:rsidRPr="00D41CF6">
        <w:rPr>
          <w:rFonts w:ascii="Times New Roman" w:hAnsi="Times New Roman" w:cs="Times New Roman"/>
          <w:sz w:val="24"/>
          <w:szCs w:val="24"/>
        </w:rPr>
        <w:t>биогаз</w:t>
      </w:r>
      <w:proofErr w:type="spellEnd"/>
      <w:r w:rsidRPr="00D41CF6">
        <w:rPr>
          <w:rFonts w:ascii="Times New Roman" w:hAnsi="Times New Roman" w:cs="Times New Roman"/>
          <w:sz w:val="24"/>
          <w:szCs w:val="24"/>
        </w:rPr>
        <w:t xml:space="preserve"> (материалы органического происхождения), пластмассы, металлы, стекло и токсичные отходы;</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5.Разработка проекта по применению малых </w:t>
      </w:r>
      <w:proofErr w:type="spellStart"/>
      <w:r w:rsidRPr="00D41CF6">
        <w:rPr>
          <w:rFonts w:ascii="Times New Roman" w:hAnsi="Times New Roman" w:cs="Times New Roman"/>
          <w:sz w:val="24"/>
          <w:szCs w:val="24"/>
        </w:rPr>
        <w:t>биогазовых</w:t>
      </w:r>
      <w:proofErr w:type="spellEnd"/>
      <w:r w:rsidRPr="00D41CF6">
        <w:rPr>
          <w:rFonts w:ascii="Times New Roman" w:hAnsi="Times New Roman" w:cs="Times New Roman"/>
          <w:sz w:val="24"/>
          <w:szCs w:val="24"/>
        </w:rPr>
        <w:t xml:space="preserve"> установок по утилизации бытовых отходов</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Мы подсчитали количество несанкционированных мусорных свалок, размером 50-100 квадратных метров. В Нюрбе их  6.  В местности </w:t>
      </w:r>
      <w:proofErr w:type="spellStart"/>
      <w:r w:rsidRPr="00D41CF6">
        <w:rPr>
          <w:rFonts w:ascii="Times New Roman" w:hAnsi="Times New Roman" w:cs="Times New Roman"/>
          <w:sz w:val="24"/>
          <w:szCs w:val="24"/>
        </w:rPr>
        <w:t>Кочай</w:t>
      </w:r>
      <w:proofErr w:type="spellEnd"/>
      <w:r w:rsidRPr="00D41CF6">
        <w:rPr>
          <w:rFonts w:ascii="Times New Roman" w:hAnsi="Times New Roman" w:cs="Times New Roman"/>
          <w:sz w:val="24"/>
          <w:szCs w:val="24"/>
        </w:rPr>
        <w:t xml:space="preserve">  вдоль Федеральной трассы  находится большая городская мусорная свалка, размером около гектара, куда много лет вывозят бытовые отходы.  Жидкие бытовые отходы ряд лет сбрасывались в озеро, которое находится рядом с городской свалкой, оно уже вышло из пределов своей акватории и начинает затапливать сельскохозяйственные сенокосные угодья в местности и окружающие леса и с обеих сторон размывает Федеральную трассу «Вилюй».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Мусор не сортируется, место его расположения не огорожены, на них отсутствует система сбора, очистки и фильтрации. Нет специальных полигонов для захоронения токсичных отходов. А места захоронения бытового мусора стали питательной средой для грызунов и насекомых. </w:t>
      </w:r>
    </w:p>
    <w:p w:rsidR="00D41CF6" w:rsidRPr="00D41CF6" w:rsidRDefault="00D41CF6" w:rsidP="002F3F9D">
      <w:pPr>
        <w:spacing w:line="240" w:lineRule="auto"/>
        <w:jc w:val="both"/>
        <w:rPr>
          <w:rFonts w:ascii="Times New Roman" w:hAnsi="Times New Roman" w:cs="Times New Roman"/>
          <w:b/>
          <w:sz w:val="24"/>
          <w:szCs w:val="24"/>
        </w:rPr>
      </w:pPr>
      <w:r w:rsidRPr="00D41CF6">
        <w:rPr>
          <w:rFonts w:ascii="Times New Roman" w:hAnsi="Times New Roman" w:cs="Times New Roman"/>
          <w:b/>
          <w:sz w:val="24"/>
          <w:szCs w:val="24"/>
        </w:rPr>
        <w:t xml:space="preserve">Состав бытовых отходов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Наблюдая  за вывозкой </w:t>
      </w:r>
      <w:proofErr w:type="gramStart"/>
      <w:r w:rsidRPr="00D41CF6">
        <w:rPr>
          <w:rFonts w:ascii="Times New Roman" w:hAnsi="Times New Roman" w:cs="Times New Roman"/>
          <w:sz w:val="24"/>
          <w:szCs w:val="24"/>
        </w:rPr>
        <w:t>мусора</w:t>
      </w:r>
      <w:proofErr w:type="gramEnd"/>
      <w:r w:rsidRPr="00D41CF6">
        <w:rPr>
          <w:rFonts w:ascii="Times New Roman" w:hAnsi="Times New Roman" w:cs="Times New Roman"/>
          <w:sz w:val="24"/>
          <w:szCs w:val="24"/>
        </w:rPr>
        <w:t xml:space="preserve"> мы определили его состав:</w:t>
      </w:r>
    </w:p>
    <w:tbl>
      <w:tblPr>
        <w:tblStyle w:val="a3"/>
        <w:tblW w:w="0" w:type="auto"/>
        <w:tblLook w:val="04A0"/>
      </w:tblPr>
      <w:tblGrid>
        <w:gridCol w:w="675"/>
        <w:gridCol w:w="4253"/>
        <w:gridCol w:w="4643"/>
      </w:tblGrid>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w:t>
            </w:r>
          </w:p>
        </w:tc>
        <w:tc>
          <w:tcPr>
            <w:tcW w:w="4253" w:type="dxa"/>
          </w:tcPr>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Твердые бытовые отходы</w:t>
            </w:r>
          </w:p>
        </w:tc>
        <w:tc>
          <w:tcPr>
            <w:tcW w:w="4643" w:type="dxa"/>
          </w:tcPr>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Жидкие бытовые отходы</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одноразовая посуда (в большом количестве)</w:t>
            </w:r>
          </w:p>
          <w:p w:rsidR="00D41CF6" w:rsidRPr="00D41CF6" w:rsidRDefault="00D41CF6" w:rsidP="002F3F9D">
            <w:pPr>
              <w:jc w:val="both"/>
              <w:rPr>
                <w:rFonts w:ascii="Times New Roman" w:hAnsi="Times New Roman" w:cs="Times New Roman"/>
                <w:sz w:val="24"/>
                <w:szCs w:val="24"/>
              </w:rPr>
            </w:pPr>
          </w:p>
        </w:tc>
        <w:tc>
          <w:tcPr>
            <w:tcW w:w="464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фекальные  воды канализации</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2.</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полиэтиленовые пакеты</w:t>
            </w:r>
          </w:p>
        </w:tc>
        <w:tc>
          <w:tcPr>
            <w:tcW w:w="464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 xml:space="preserve">молочные продукты </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3.</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пластмассовые бутылки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lastRenderedPageBreak/>
              <w:t>4.</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 xml:space="preserve"> игрушки пластмассовые</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игрушки мягкие (тряпочные)</w:t>
            </w:r>
          </w:p>
          <w:p w:rsidR="00D41CF6" w:rsidRPr="00D41CF6" w:rsidRDefault="00D41CF6" w:rsidP="002F3F9D">
            <w:pPr>
              <w:jc w:val="both"/>
              <w:rPr>
                <w:rFonts w:ascii="Times New Roman" w:hAnsi="Times New Roman" w:cs="Times New Roman"/>
                <w:sz w:val="24"/>
                <w:szCs w:val="24"/>
              </w:rPr>
            </w:pP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5.</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консервные банки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6.</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бутылки, банки (стеклянные)</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7.</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платья</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8.</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 xml:space="preserve">верхняя одежда  </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9.</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кирпичи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10.</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тетради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11.</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книги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12.</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чугунные плиты</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13.</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сломанные стулья, табуретки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14.</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карандаши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15.</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ручки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17.</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кастрюли, бочки</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18.</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строительный мусор</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19.</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Навоз (КРС)</w:t>
            </w:r>
          </w:p>
        </w:tc>
        <w:tc>
          <w:tcPr>
            <w:tcW w:w="4643" w:type="dxa"/>
          </w:tcPr>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20.</w:t>
            </w:r>
          </w:p>
        </w:tc>
        <w:tc>
          <w:tcPr>
            <w:tcW w:w="4253"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куриный помет (птицефабрика)</w:t>
            </w:r>
          </w:p>
        </w:tc>
        <w:tc>
          <w:tcPr>
            <w:tcW w:w="4643" w:type="dxa"/>
          </w:tcPr>
          <w:p w:rsidR="00D41CF6" w:rsidRPr="00D41CF6" w:rsidRDefault="00D41CF6" w:rsidP="002F3F9D">
            <w:pPr>
              <w:jc w:val="both"/>
              <w:rPr>
                <w:rFonts w:ascii="Times New Roman" w:hAnsi="Times New Roman" w:cs="Times New Roman"/>
                <w:sz w:val="24"/>
                <w:szCs w:val="24"/>
              </w:rPr>
            </w:pPr>
          </w:p>
        </w:tc>
      </w:tr>
    </w:tbl>
    <w:p w:rsidR="00D41CF6" w:rsidRPr="00D41CF6" w:rsidRDefault="00D41CF6" w:rsidP="002F3F9D">
      <w:pPr>
        <w:spacing w:line="240" w:lineRule="auto"/>
        <w:rPr>
          <w:rFonts w:ascii="Times New Roman" w:hAnsi="Times New Roman" w:cs="Times New Roman"/>
          <w:sz w:val="24"/>
          <w:szCs w:val="24"/>
        </w:rPr>
      </w:pPr>
      <w:r w:rsidRPr="00D41CF6">
        <w:rPr>
          <w:rFonts w:ascii="Times New Roman" w:hAnsi="Times New Roman" w:cs="Times New Roman"/>
          <w:sz w:val="24"/>
          <w:szCs w:val="24"/>
        </w:rPr>
        <w:t>1.Примерный состав ТБО на городской свалке города Нюрба в 2011 г.</w:t>
      </w:r>
    </w:p>
    <w:p w:rsidR="00D41CF6" w:rsidRPr="00D41CF6" w:rsidRDefault="00D41CF6" w:rsidP="002F3F9D">
      <w:pPr>
        <w:spacing w:line="240" w:lineRule="auto"/>
        <w:jc w:val="center"/>
        <w:rPr>
          <w:rFonts w:ascii="Times New Roman" w:hAnsi="Times New Roman" w:cs="Times New Roman"/>
          <w:b/>
          <w:color w:val="FF0000"/>
          <w:sz w:val="24"/>
          <w:szCs w:val="24"/>
        </w:rPr>
      </w:pPr>
      <w:r w:rsidRPr="00D41CF6">
        <w:rPr>
          <w:rFonts w:ascii="Times New Roman" w:hAnsi="Times New Roman" w:cs="Times New Roman"/>
          <w:b/>
          <w:noProof/>
          <w:color w:val="FF0000"/>
          <w:sz w:val="24"/>
          <w:szCs w:val="24"/>
          <w:lang w:eastAsia="ru-RU"/>
        </w:rPr>
        <w:drawing>
          <wp:inline distT="0" distB="0" distL="0" distR="0">
            <wp:extent cx="5811852" cy="22955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1852" cy="2295525"/>
                    </a:xfrm>
                    <a:prstGeom prst="rect">
                      <a:avLst/>
                    </a:prstGeom>
                    <a:noFill/>
                    <a:ln w="9525">
                      <a:noFill/>
                      <a:miter lim="800000"/>
                      <a:headEnd/>
                      <a:tailEnd/>
                    </a:ln>
                  </pic:spPr>
                </pic:pic>
              </a:graphicData>
            </a:graphic>
          </wp:inline>
        </w:drawing>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ab/>
        <w:t>Используя теоретический материал, мы знаем, что для разложения различных материалов требуется разное количество времени. (1)</w:t>
      </w:r>
    </w:p>
    <w:p w:rsidR="00D41CF6" w:rsidRPr="00D41CF6" w:rsidRDefault="00D41CF6" w:rsidP="002F3F9D">
      <w:pPr>
        <w:spacing w:line="240" w:lineRule="auto"/>
        <w:jc w:val="center"/>
        <w:rPr>
          <w:rFonts w:ascii="Times New Roman" w:hAnsi="Times New Roman" w:cs="Times New Roman"/>
          <w:b/>
          <w:sz w:val="24"/>
          <w:szCs w:val="24"/>
        </w:rPr>
      </w:pPr>
      <w:r w:rsidRPr="00D41CF6">
        <w:rPr>
          <w:rFonts w:ascii="Times New Roman" w:hAnsi="Times New Roman" w:cs="Times New Roman"/>
          <w:b/>
          <w:sz w:val="24"/>
          <w:szCs w:val="24"/>
        </w:rPr>
        <w:t>Естественное разложение бытовых отходов</w:t>
      </w:r>
    </w:p>
    <w:tbl>
      <w:tblPr>
        <w:tblStyle w:val="a3"/>
        <w:tblW w:w="0" w:type="auto"/>
        <w:tblLook w:val="04A0"/>
      </w:tblPr>
      <w:tblGrid>
        <w:gridCol w:w="675"/>
        <w:gridCol w:w="4536"/>
        <w:gridCol w:w="4360"/>
      </w:tblGrid>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w:t>
            </w:r>
          </w:p>
        </w:tc>
        <w:tc>
          <w:tcPr>
            <w:tcW w:w="4536"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Вид бытового отхода</w:t>
            </w:r>
          </w:p>
        </w:tc>
        <w:tc>
          <w:tcPr>
            <w:tcW w:w="4360" w:type="dxa"/>
          </w:tcPr>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Время разложения</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1</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Бумага</w:t>
            </w:r>
          </w:p>
        </w:tc>
        <w:tc>
          <w:tcPr>
            <w:tcW w:w="4360" w:type="dxa"/>
          </w:tcPr>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2-3 года</w:t>
            </w:r>
          </w:p>
          <w:p w:rsidR="00D41CF6" w:rsidRPr="00D41CF6" w:rsidRDefault="00D41CF6" w:rsidP="002F3F9D">
            <w:pPr>
              <w:jc w:val="both"/>
              <w:rPr>
                <w:rFonts w:ascii="Times New Roman" w:hAnsi="Times New Roman" w:cs="Times New Roman"/>
                <w:sz w:val="24"/>
                <w:szCs w:val="24"/>
              </w:rPr>
            </w:pP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2</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Изделия из ткани</w:t>
            </w:r>
          </w:p>
        </w:tc>
        <w:tc>
          <w:tcPr>
            <w:tcW w:w="4360" w:type="dxa"/>
          </w:tcPr>
          <w:p w:rsidR="00D41CF6" w:rsidRPr="00D41CF6" w:rsidRDefault="00D41CF6" w:rsidP="002F3F9D">
            <w:pPr>
              <w:jc w:val="center"/>
              <w:rPr>
                <w:rFonts w:ascii="Times New Roman" w:hAnsi="Times New Roman" w:cs="Times New Roman"/>
                <w:i/>
                <w:sz w:val="24"/>
                <w:szCs w:val="24"/>
              </w:rPr>
            </w:pPr>
            <w:r w:rsidRPr="00D41CF6">
              <w:rPr>
                <w:rFonts w:ascii="Times New Roman" w:hAnsi="Times New Roman" w:cs="Times New Roman"/>
                <w:sz w:val="24"/>
                <w:szCs w:val="24"/>
              </w:rPr>
              <w:t>2-3 года</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3</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Деревянные изделия</w:t>
            </w:r>
          </w:p>
        </w:tc>
        <w:tc>
          <w:tcPr>
            <w:tcW w:w="4360" w:type="dxa"/>
          </w:tcPr>
          <w:p w:rsidR="00D41CF6" w:rsidRPr="00D41CF6" w:rsidRDefault="00D41CF6" w:rsidP="002F3F9D">
            <w:pPr>
              <w:jc w:val="center"/>
              <w:rPr>
                <w:rFonts w:ascii="Times New Roman" w:hAnsi="Times New Roman" w:cs="Times New Roman"/>
                <w:i/>
                <w:sz w:val="24"/>
                <w:szCs w:val="24"/>
              </w:rPr>
            </w:pPr>
            <w:r w:rsidRPr="00D41CF6">
              <w:rPr>
                <w:rFonts w:ascii="Times New Roman" w:hAnsi="Times New Roman" w:cs="Times New Roman"/>
                <w:sz w:val="24"/>
                <w:szCs w:val="24"/>
              </w:rPr>
              <w:t>несколько десятков лет</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4</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Консервная банка</w:t>
            </w:r>
          </w:p>
        </w:tc>
        <w:tc>
          <w:tcPr>
            <w:tcW w:w="4360" w:type="dxa"/>
          </w:tcPr>
          <w:p w:rsidR="00D41CF6" w:rsidRPr="00D41CF6" w:rsidRDefault="00D41CF6" w:rsidP="002F3F9D">
            <w:pPr>
              <w:jc w:val="center"/>
              <w:rPr>
                <w:rFonts w:ascii="Times New Roman" w:hAnsi="Times New Roman" w:cs="Times New Roman"/>
                <w:i/>
                <w:sz w:val="24"/>
                <w:szCs w:val="24"/>
              </w:rPr>
            </w:pPr>
            <w:r w:rsidRPr="00D41CF6">
              <w:rPr>
                <w:rFonts w:ascii="Times New Roman" w:hAnsi="Times New Roman" w:cs="Times New Roman"/>
                <w:sz w:val="24"/>
                <w:szCs w:val="24"/>
              </w:rPr>
              <w:t>более 90 лет</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5</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Полиэтиленовый пакет</w:t>
            </w:r>
          </w:p>
        </w:tc>
        <w:tc>
          <w:tcPr>
            <w:tcW w:w="4360" w:type="dxa"/>
          </w:tcPr>
          <w:p w:rsidR="00D41CF6" w:rsidRPr="00D41CF6" w:rsidRDefault="00D41CF6" w:rsidP="002F3F9D">
            <w:pPr>
              <w:jc w:val="center"/>
              <w:rPr>
                <w:rFonts w:ascii="Times New Roman" w:hAnsi="Times New Roman" w:cs="Times New Roman"/>
                <w:i/>
                <w:sz w:val="24"/>
                <w:szCs w:val="24"/>
              </w:rPr>
            </w:pPr>
            <w:r w:rsidRPr="00D41CF6">
              <w:rPr>
                <w:rFonts w:ascii="Times New Roman" w:hAnsi="Times New Roman" w:cs="Times New Roman"/>
                <w:sz w:val="24"/>
                <w:szCs w:val="24"/>
              </w:rPr>
              <w:t>более 200лет</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6</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Пластмасса</w:t>
            </w:r>
          </w:p>
        </w:tc>
        <w:tc>
          <w:tcPr>
            <w:tcW w:w="4360" w:type="dxa"/>
          </w:tcPr>
          <w:p w:rsidR="00D41CF6" w:rsidRPr="00D41CF6" w:rsidRDefault="00D41CF6" w:rsidP="002F3F9D">
            <w:pPr>
              <w:jc w:val="center"/>
              <w:rPr>
                <w:rFonts w:ascii="Times New Roman" w:hAnsi="Times New Roman" w:cs="Times New Roman"/>
                <w:i/>
                <w:sz w:val="24"/>
                <w:szCs w:val="24"/>
              </w:rPr>
            </w:pPr>
            <w:r w:rsidRPr="00D41CF6">
              <w:rPr>
                <w:rFonts w:ascii="Times New Roman" w:hAnsi="Times New Roman" w:cs="Times New Roman"/>
                <w:sz w:val="24"/>
                <w:szCs w:val="24"/>
              </w:rPr>
              <w:t>500 лет</w:t>
            </w:r>
          </w:p>
        </w:tc>
      </w:tr>
      <w:tr w:rsidR="00D41CF6" w:rsidRPr="00D41CF6" w:rsidTr="003E771B">
        <w:tc>
          <w:tcPr>
            <w:tcW w:w="675" w:type="dxa"/>
          </w:tcPr>
          <w:p w:rsidR="00D41CF6" w:rsidRPr="00D41CF6" w:rsidRDefault="00D41CF6" w:rsidP="002F3F9D">
            <w:pPr>
              <w:jc w:val="both"/>
              <w:rPr>
                <w:rFonts w:ascii="Times New Roman" w:hAnsi="Times New Roman" w:cs="Times New Roman"/>
                <w:sz w:val="24"/>
                <w:szCs w:val="24"/>
              </w:rPr>
            </w:pPr>
            <w:r w:rsidRPr="00D41CF6">
              <w:rPr>
                <w:rFonts w:ascii="Times New Roman" w:hAnsi="Times New Roman" w:cs="Times New Roman"/>
                <w:sz w:val="24"/>
                <w:szCs w:val="24"/>
              </w:rPr>
              <w:t>7</w:t>
            </w:r>
          </w:p>
        </w:tc>
        <w:tc>
          <w:tcPr>
            <w:tcW w:w="4536" w:type="dxa"/>
          </w:tcPr>
          <w:p w:rsidR="00D41CF6" w:rsidRPr="00D41CF6" w:rsidRDefault="00D41CF6" w:rsidP="002F3F9D">
            <w:pPr>
              <w:jc w:val="both"/>
              <w:rPr>
                <w:rFonts w:ascii="Times New Roman" w:hAnsi="Times New Roman" w:cs="Times New Roman"/>
                <w:i/>
                <w:sz w:val="24"/>
                <w:szCs w:val="24"/>
              </w:rPr>
            </w:pPr>
            <w:r w:rsidRPr="00D41CF6">
              <w:rPr>
                <w:rFonts w:ascii="Times New Roman" w:hAnsi="Times New Roman" w:cs="Times New Roman"/>
                <w:sz w:val="24"/>
                <w:szCs w:val="24"/>
              </w:rPr>
              <w:t>Стекло</w:t>
            </w:r>
          </w:p>
        </w:tc>
        <w:tc>
          <w:tcPr>
            <w:tcW w:w="4360" w:type="dxa"/>
          </w:tcPr>
          <w:p w:rsidR="00D41CF6" w:rsidRPr="00D41CF6" w:rsidRDefault="00D41CF6" w:rsidP="002F3F9D">
            <w:pPr>
              <w:jc w:val="center"/>
              <w:rPr>
                <w:rFonts w:ascii="Times New Roman" w:hAnsi="Times New Roman" w:cs="Times New Roman"/>
                <w:i/>
                <w:sz w:val="24"/>
                <w:szCs w:val="24"/>
              </w:rPr>
            </w:pPr>
            <w:r w:rsidRPr="00D41CF6">
              <w:rPr>
                <w:rFonts w:ascii="Times New Roman" w:hAnsi="Times New Roman" w:cs="Times New Roman"/>
                <w:sz w:val="24"/>
                <w:szCs w:val="24"/>
              </w:rPr>
              <w:t>1000лет</w:t>
            </w:r>
          </w:p>
        </w:tc>
      </w:tr>
    </w:tbl>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Утилизация мусора - одна из важнейших проблем современной цивилизации. Особенно тяжело утилизировать неорганизованно выброшенный мусор, так как помимо проблем, характерных для утилизации мусора вообще, возникает проблема сбора неорганизованно выброшенного мусора.</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lastRenderedPageBreak/>
        <w:t xml:space="preserve">    Пока что человечество придумало три принципиально разных </w:t>
      </w:r>
      <w:r w:rsidRPr="00D41CF6">
        <w:rPr>
          <w:rFonts w:ascii="Times New Roman" w:hAnsi="Times New Roman" w:cs="Times New Roman"/>
          <w:b/>
          <w:sz w:val="24"/>
          <w:szCs w:val="24"/>
        </w:rPr>
        <w:t>пути утилизации мусора</w:t>
      </w:r>
      <w:r w:rsidRPr="00D41CF6">
        <w:rPr>
          <w:rFonts w:ascii="Times New Roman" w:hAnsi="Times New Roman" w:cs="Times New Roman"/>
          <w:sz w:val="24"/>
          <w:szCs w:val="24"/>
        </w:rPr>
        <w:t>: организация свалок, вторичное использование отходов</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сжигание их.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Однако ни один из них нельзя признать абсолютно приемлемым.      Вторичное использование отходов - наиболее ресурсосберегающий путь,  в настоящее время он является очень актуальным в связи с политикой по </w:t>
      </w:r>
      <w:proofErr w:type="spellStart"/>
      <w:r w:rsidRPr="00D41CF6">
        <w:rPr>
          <w:rFonts w:ascii="Times New Roman" w:hAnsi="Times New Roman" w:cs="Times New Roman"/>
          <w:sz w:val="24"/>
          <w:szCs w:val="24"/>
        </w:rPr>
        <w:t>энерго</w:t>
      </w:r>
      <w:proofErr w:type="spellEnd"/>
      <w:r w:rsidRPr="00D41CF6">
        <w:rPr>
          <w:rFonts w:ascii="Times New Roman" w:hAnsi="Times New Roman" w:cs="Times New Roman"/>
          <w:sz w:val="24"/>
          <w:szCs w:val="24"/>
        </w:rPr>
        <w:t>- и ресурсосбережению РФ, так и в экологическом плане, в связи с парниковым эффектом. Вывоз мусора на свалку - самый дешевый, но при этом самый недальновидный способ его утилизации. Недальновидный он в первую очередь потому, что мусор остается мусором. Свалки (особенно вокруг крупных городов) занимают огромные площади</w:t>
      </w:r>
      <w:proofErr w:type="gramStart"/>
      <w:r w:rsidRPr="00D41CF6">
        <w:rPr>
          <w:rFonts w:ascii="Times New Roman" w:hAnsi="Times New Roman" w:cs="Times New Roman"/>
          <w:sz w:val="24"/>
          <w:szCs w:val="24"/>
        </w:rPr>
        <w:t>.</w:t>
      </w:r>
      <w:proofErr w:type="gramEnd"/>
      <w:r w:rsidRPr="00D41CF6">
        <w:rPr>
          <w:rFonts w:ascii="Times New Roman" w:hAnsi="Times New Roman" w:cs="Times New Roman"/>
          <w:sz w:val="24"/>
          <w:szCs w:val="24"/>
        </w:rPr>
        <w:t xml:space="preserve"> </w:t>
      </w:r>
      <w:proofErr w:type="gramStart"/>
      <w:r w:rsidRPr="00D41CF6">
        <w:rPr>
          <w:rFonts w:ascii="Times New Roman" w:hAnsi="Times New Roman" w:cs="Times New Roman"/>
          <w:sz w:val="24"/>
          <w:szCs w:val="24"/>
        </w:rPr>
        <w:t>я</w:t>
      </w:r>
      <w:proofErr w:type="gramEnd"/>
      <w:r w:rsidRPr="00D41CF6">
        <w:rPr>
          <w:rFonts w:ascii="Times New Roman" w:hAnsi="Times New Roman" w:cs="Times New Roman"/>
          <w:sz w:val="24"/>
          <w:szCs w:val="24"/>
        </w:rPr>
        <w:t xml:space="preserve">довитые вещества, оказывающиеся на свалках (в отработанных батарейках, аккумуляторах, термометрах и т.д., а также в гниющих пищевых отходах и разлагающихся пластмассах), проникают в подземные воды, которые часто используются в  качестве источников питьевой воды, развеиваются ветрами по окрестностям и тем самым  наносят ущерб  окружающей среде. Кроме того, в результате процессов гниения без доступа воздуха образуются различные газы  (метан, этилен, сероводород, фосфид), которые также не освежают атмосферу вокруг свалки. Некоторые продукты гниения (в первую очередь </w:t>
      </w:r>
      <w:proofErr w:type="spellStart"/>
      <w:r w:rsidRPr="00D41CF6">
        <w:rPr>
          <w:rFonts w:ascii="Times New Roman" w:hAnsi="Times New Roman" w:cs="Times New Roman"/>
          <w:sz w:val="24"/>
          <w:szCs w:val="24"/>
        </w:rPr>
        <w:t>дифосфин</w:t>
      </w:r>
      <w:proofErr w:type="spellEnd"/>
      <w:r w:rsidRPr="00D41CF6">
        <w:rPr>
          <w:rFonts w:ascii="Times New Roman" w:hAnsi="Times New Roman" w:cs="Times New Roman"/>
          <w:sz w:val="24"/>
          <w:szCs w:val="24"/>
        </w:rPr>
        <w:t xml:space="preserve"> Р2H4) способны самовоспламеняться, поэтому па свалках регулярно возникают пожары, при которых в атмосферу выбрасывается сажа, фенол, </w:t>
      </w:r>
      <w:proofErr w:type="spellStart"/>
      <w:r w:rsidRPr="00D41CF6">
        <w:rPr>
          <w:rFonts w:ascii="Times New Roman" w:hAnsi="Times New Roman" w:cs="Times New Roman"/>
          <w:sz w:val="24"/>
          <w:szCs w:val="24"/>
        </w:rPr>
        <w:t>бензапирен</w:t>
      </w:r>
      <w:proofErr w:type="spellEnd"/>
      <w:r w:rsidRPr="00D41CF6">
        <w:rPr>
          <w:rFonts w:ascii="Times New Roman" w:hAnsi="Times New Roman" w:cs="Times New Roman"/>
          <w:sz w:val="24"/>
          <w:szCs w:val="24"/>
        </w:rPr>
        <w:t xml:space="preserve"> и прочие ядовитые вещества.(3)</w:t>
      </w:r>
    </w:p>
    <w:p w:rsidR="00D41CF6" w:rsidRPr="00D41CF6" w:rsidRDefault="00D41CF6" w:rsidP="002F3F9D">
      <w:pPr>
        <w:spacing w:line="240" w:lineRule="auto"/>
        <w:jc w:val="both"/>
        <w:rPr>
          <w:rFonts w:ascii="Times New Roman" w:hAnsi="Times New Roman" w:cs="Times New Roman"/>
          <w:b/>
          <w:sz w:val="24"/>
          <w:szCs w:val="24"/>
        </w:rPr>
      </w:pPr>
      <w:r w:rsidRPr="00D41CF6">
        <w:rPr>
          <w:rFonts w:ascii="Times New Roman" w:hAnsi="Times New Roman" w:cs="Times New Roman"/>
          <w:b/>
          <w:sz w:val="24"/>
          <w:szCs w:val="24"/>
        </w:rPr>
        <w:t xml:space="preserve">Экологический аспект применения </w:t>
      </w:r>
      <w:proofErr w:type="spellStart"/>
      <w:r w:rsidRPr="00D41CF6">
        <w:rPr>
          <w:rFonts w:ascii="Times New Roman" w:hAnsi="Times New Roman" w:cs="Times New Roman"/>
          <w:b/>
          <w:sz w:val="24"/>
          <w:szCs w:val="24"/>
        </w:rPr>
        <w:t>биогазовых</w:t>
      </w:r>
      <w:proofErr w:type="spellEnd"/>
      <w:r w:rsidRPr="00D41CF6">
        <w:rPr>
          <w:rFonts w:ascii="Times New Roman" w:hAnsi="Times New Roman" w:cs="Times New Roman"/>
          <w:b/>
          <w:sz w:val="24"/>
          <w:szCs w:val="24"/>
        </w:rPr>
        <w:t xml:space="preserve"> установок</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w:t>
      </w:r>
      <w:proofErr w:type="spellStart"/>
      <w:r w:rsidRPr="00D41CF6">
        <w:rPr>
          <w:rFonts w:ascii="Times New Roman" w:hAnsi="Times New Roman" w:cs="Times New Roman"/>
          <w:sz w:val="24"/>
          <w:szCs w:val="24"/>
        </w:rPr>
        <w:t>Биогаз</w:t>
      </w:r>
      <w:proofErr w:type="spellEnd"/>
      <w:r w:rsidRPr="00D41CF6">
        <w:rPr>
          <w:rFonts w:ascii="Times New Roman" w:hAnsi="Times New Roman" w:cs="Times New Roman"/>
          <w:sz w:val="24"/>
          <w:szCs w:val="24"/>
        </w:rPr>
        <w:t xml:space="preserve"> — газ, получаемый водородным или метановым брожением биомассы. Метановое разложение биомассы происходит под воздействием трёх видов бактерий. В цепочке питания последующие бактерии питаются продуктами жизнедеятельности </w:t>
      </w:r>
      <w:proofErr w:type="gramStart"/>
      <w:r w:rsidRPr="00D41CF6">
        <w:rPr>
          <w:rFonts w:ascii="Times New Roman" w:hAnsi="Times New Roman" w:cs="Times New Roman"/>
          <w:sz w:val="24"/>
          <w:szCs w:val="24"/>
        </w:rPr>
        <w:t>предыдущих</w:t>
      </w:r>
      <w:proofErr w:type="gramEnd"/>
      <w:r w:rsidRPr="00D41CF6">
        <w:rPr>
          <w:rFonts w:ascii="Times New Roman" w:hAnsi="Times New Roman" w:cs="Times New Roman"/>
          <w:sz w:val="24"/>
          <w:szCs w:val="24"/>
        </w:rPr>
        <w:t xml:space="preserve">. Первый вид — бактерии гидролизные, второй — кислотообразующие, третий — </w:t>
      </w:r>
      <w:proofErr w:type="spellStart"/>
      <w:r w:rsidRPr="00D41CF6">
        <w:rPr>
          <w:rFonts w:ascii="Times New Roman" w:hAnsi="Times New Roman" w:cs="Times New Roman"/>
          <w:sz w:val="24"/>
          <w:szCs w:val="24"/>
        </w:rPr>
        <w:t>метанообразующие</w:t>
      </w:r>
      <w:proofErr w:type="spellEnd"/>
      <w:r w:rsidRPr="00D41CF6">
        <w:rPr>
          <w:rFonts w:ascii="Times New Roman" w:hAnsi="Times New Roman" w:cs="Times New Roman"/>
          <w:sz w:val="24"/>
          <w:szCs w:val="24"/>
        </w:rPr>
        <w:t xml:space="preserve">. В производстве </w:t>
      </w:r>
      <w:proofErr w:type="spellStart"/>
      <w:r w:rsidRPr="00D41CF6">
        <w:rPr>
          <w:rFonts w:ascii="Times New Roman" w:hAnsi="Times New Roman" w:cs="Times New Roman"/>
          <w:sz w:val="24"/>
          <w:szCs w:val="24"/>
        </w:rPr>
        <w:t>биогаза</w:t>
      </w:r>
      <w:proofErr w:type="spellEnd"/>
      <w:r w:rsidRPr="00D41CF6">
        <w:rPr>
          <w:rFonts w:ascii="Times New Roman" w:hAnsi="Times New Roman" w:cs="Times New Roman"/>
          <w:sz w:val="24"/>
          <w:szCs w:val="24"/>
        </w:rPr>
        <w:t xml:space="preserve"> участвуют не только бактерии класса </w:t>
      </w:r>
      <w:proofErr w:type="spellStart"/>
      <w:r w:rsidRPr="00D41CF6">
        <w:rPr>
          <w:rFonts w:ascii="Times New Roman" w:hAnsi="Times New Roman" w:cs="Times New Roman"/>
          <w:sz w:val="24"/>
          <w:szCs w:val="24"/>
        </w:rPr>
        <w:t>метаногенов</w:t>
      </w:r>
      <w:proofErr w:type="spellEnd"/>
      <w:r w:rsidRPr="00D41CF6">
        <w:rPr>
          <w:rFonts w:ascii="Times New Roman" w:hAnsi="Times New Roman" w:cs="Times New Roman"/>
          <w:sz w:val="24"/>
          <w:szCs w:val="24"/>
        </w:rPr>
        <w:t xml:space="preserve">, а все три вида.  Одной из разновидностей </w:t>
      </w:r>
      <w:proofErr w:type="spellStart"/>
      <w:r w:rsidRPr="00D41CF6">
        <w:rPr>
          <w:rFonts w:ascii="Times New Roman" w:hAnsi="Times New Roman" w:cs="Times New Roman"/>
          <w:sz w:val="24"/>
          <w:szCs w:val="24"/>
        </w:rPr>
        <w:t>биогаза</w:t>
      </w:r>
      <w:proofErr w:type="spellEnd"/>
      <w:r w:rsidRPr="00D41CF6">
        <w:rPr>
          <w:rFonts w:ascii="Times New Roman" w:hAnsi="Times New Roman" w:cs="Times New Roman"/>
          <w:sz w:val="24"/>
          <w:szCs w:val="24"/>
        </w:rPr>
        <w:t xml:space="preserve"> является </w:t>
      </w:r>
      <w:proofErr w:type="spellStart"/>
      <w:r w:rsidRPr="00D41CF6">
        <w:rPr>
          <w:rFonts w:ascii="Times New Roman" w:hAnsi="Times New Roman" w:cs="Times New Roman"/>
          <w:sz w:val="24"/>
          <w:szCs w:val="24"/>
        </w:rPr>
        <w:t>биоводород</w:t>
      </w:r>
      <w:proofErr w:type="spellEnd"/>
      <w:r w:rsidRPr="00D41CF6">
        <w:rPr>
          <w:rFonts w:ascii="Times New Roman" w:hAnsi="Times New Roman" w:cs="Times New Roman"/>
          <w:sz w:val="24"/>
          <w:szCs w:val="24"/>
        </w:rPr>
        <w:t xml:space="preserve">, где конечным продуктом жизнедеятельности бактерий является не метан, а водород.   Производство </w:t>
      </w:r>
      <w:proofErr w:type="spellStart"/>
      <w:r w:rsidRPr="00D41CF6">
        <w:rPr>
          <w:rFonts w:ascii="Times New Roman" w:hAnsi="Times New Roman" w:cs="Times New Roman"/>
          <w:sz w:val="24"/>
          <w:szCs w:val="24"/>
        </w:rPr>
        <w:t>биогаза</w:t>
      </w:r>
      <w:proofErr w:type="spellEnd"/>
      <w:r w:rsidRPr="00D41CF6">
        <w:rPr>
          <w:rFonts w:ascii="Times New Roman" w:hAnsi="Times New Roman" w:cs="Times New Roman"/>
          <w:sz w:val="24"/>
          <w:szCs w:val="24"/>
        </w:rPr>
        <w:t xml:space="preserve"> позволяет предотвратить выбросы метана в атмосферу. Метан оказывает влияние на парниковый эффект в 21 раз более сильное, чем СО</w:t>
      </w:r>
      <w:proofErr w:type="gramStart"/>
      <w:r w:rsidRPr="00D41CF6">
        <w:rPr>
          <w:rFonts w:ascii="Times New Roman" w:hAnsi="Times New Roman" w:cs="Times New Roman"/>
          <w:sz w:val="24"/>
          <w:szCs w:val="24"/>
        </w:rPr>
        <w:t>2</w:t>
      </w:r>
      <w:proofErr w:type="gramEnd"/>
      <w:r w:rsidRPr="00D41CF6">
        <w:rPr>
          <w:rFonts w:ascii="Times New Roman" w:hAnsi="Times New Roman" w:cs="Times New Roman"/>
          <w:sz w:val="24"/>
          <w:szCs w:val="24"/>
        </w:rPr>
        <w:t xml:space="preserve">, и находится в атмосфере 12 лет. </w:t>
      </w:r>
      <w:r w:rsidRPr="00D41CF6">
        <w:rPr>
          <w:rFonts w:ascii="Times New Roman" w:hAnsi="Times New Roman" w:cs="Times New Roman"/>
          <w:b/>
          <w:sz w:val="24"/>
          <w:szCs w:val="24"/>
        </w:rPr>
        <w:t xml:space="preserve">Захват метана — лучший краткосрочный способ предотвращения глобального потепления. </w:t>
      </w:r>
      <w:r w:rsidRPr="00D41CF6">
        <w:rPr>
          <w:rFonts w:ascii="Times New Roman" w:hAnsi="Times New Roman" w:cs="Times New Roman"/>
          <w:sz w:val="24"/>
          <w:szCs w:val="24"/>
        </w:rPr>
        <w:t xml:space="preserve">Переработанный навоз, барда и другие отходы применяются в качестве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удобрения в сельском хозяйстве. Это позволяет снизить применение химических удобрений, сокращается нагрузка на грунтовые воды.(5)</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b/>
          <w:sz w:val="24"/>
          <w:szCs w:val="24"/>
        </w:rPr>
        <w:t>Производство</w:t>
      </w:r>
      <w:proofErr w:type="gramStart"/>
      <w:r w:rsidRPr="00D41CF6">
        <w:rPr>
          <w:rFonts w:ascii="Times New Roman" w:hAnsi="Times New Roman" w:cs="Times New Roman"/>
          <w:b/>
          <w:sz w:val="24"/>
          <w:szCs w:val="24"/>
        </w:rPr>
        <w:t xml:space="preserve"> </w:t>
      </w:r>
      <w:r w:rsidRPr="00D41CF6">
        <w:rPr>
          <w:rFonts w:ascii="Times New Roman" w:hAnsi="Times New Roman" w:cs="Times New Roman"/>
          <w:sz w:val="24"/>
          <w:szCs w:val="24"/>
        </w:rPr>
        <w:t>С</w:t>
      </w:r>
      <w:proofErr w:type="gramEnd"/>
      <w:r w:rsidRPr="00D41CF6">
        <w:rPr>
          <w:rFonts w:ascii="Times New Roman" w:hAnsi="Times New Roman" w:cs="Times New Roman"/>
          <w:sz w:val="24"/>
          <w:szCs w:val="24"/>
        </w:rPr>
        <w:t xml:space="preserve">уществуют промышленные и кустарные установки. Промышленные установки отличаются от кустарных наличием механизации, систем подогрева, гомогенизации, автоматики. Наиболее распространённый промышленный метод — анаэробное сбраживание в </w:t>
      </w:r>
      <w:proofErr w:type="spellStart"/>
      <w:r w:rsidRPr="00D41CF6">
        <w:rPr>
          <w:rFonts w:ascii="Times New Roman" w:hAnsi="Times New Roman" w:cs="Times New Roman"/>
          <w:sz w:val="24"/>
          <w:szCs w:val="24"/>
        </w:rPr>
        <w:t>метантенках</w:t>
      </w:r>
      <w:proofErr w:type="spellEnd"/>
      <w:r w:rsidRPr="00D41CF6">
        <w:rPr>
          <w:rFonts w:ascii="Times New Roman" w:hAnsi="Times New Roman" w:cs="Times New Roman"/>
          <w:sz w:val="24"/>
          <w:szCs w:val="24"/>
        </w:rPr>
        <w:t xml:space="preserve">.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b/>
          <w:sz w:val="24"/>
          <w:szCs w:val="24"/>
        </w:rPr>
        <w:t xml:space="preserve">Применение </w:t>
      </w:r>
      <w:proofErr w:type="spellStart"/>
      <w:r w:rsidRPr="00D41CF6">
        <w:rPr>
          <w:rFonts w:ascii="Times New Roman" w:hAnsi="Times New Roman" w:cs="Times New Roman"/>
          <w:b/>
          <w:sz w:val="24"/>
          <w:szCs w:val="24"/>
        </w:rPr>
        <w:t>биогаза</w:t>
      </w:r>
      <w:proofErr w:type="spellEnd"/>
      <w:r w:rsidRPr="00D41CF6">
        <w:rPr>
          <w:rFonts w:ascii="Times New Roman" w:hAnsi="Times New Roman" w:cs="Times New Roman"/>
          <w:b/>
          <w:sz w:val="24"/>
          <w:szCs w:val="24"/>
        </w:rPr>
        <w:t xml:space="preserve"> </w:t>
      </w:r>
      <w:proofErr w:type="spellStart"/>
      <w:r w:rsidRPr="00D41CF6">
        <w:rPr>
          <w:rFonts w:ascii="Times New Roman" w:hAnsi="Times New Roman" w:cs="Times New Roman"/>
          <w:sz w:val="24"/>
          <w:szCs w:val="24"/>
        </w:rPr>
        <w:t>Биогаз</w:t>
      </w:r>
      <w:proofErr w:type="spellEnd"/>
      <w:r w:rsidRPr="00D41CF6">
        <w:rPr>
          <w:rFonts w:ascii="Times New Roman" w:hAnsi="Times New Roman" w:cs="Times New Roman"/>
          <w:sz w:val="24"/>
          <w:szCs w:val="24"/>
        </w:rPr>
        <w:t xml:space="preserve"> используют в качестве топлива для производства: электроэнергии, тепла или пара, или в качестве автомобильного топлива.</w:t>
      </w:r>
    </w:p>
    <w:p w:rsidR="00D41CF6" w:rsidRPr="00D41CF6" w:rsidRDefault="00D41CF6" w:rsidP="002F3F9D">
      <w:pPr>
        <w:spacing w:line="240" w:lineRule="auto"/>
        <w:jc w:val="both"/>
        <w:rPr>
          <w:rFonts w:ascii="Times New Roman" w:hAnsi="Times New Roman" w:cs="Times New Roman"/>
          <w:sz w:val="24"/>
          <w:szCs w:val="24"/>
        </w:rPr>
      </w:pPr>
      <w:proofErr w:type="spellStart"/>
      <w:r w:rsidRPr="00D41CF6">
        <w:rPr>
          <w:rFonts w:ascii="Times New Roman" w:hAnsi="Times New Roman" w:cs="Times New Roman"/>
          <w:sz w:val="24"/>
          <w:szCs w:val="24"/>
        </w:rPr>
        <w:t>Биогазовые</w:t>
      </w:r>
      <w:proofErr w:type="spellEnd"/>
      <w:r w:rsidRPr="00D41CF6">
        <w:rPr>
          <w:rFonts w:ascii="Times New Roman" w:hAnsi="Times New Roman" w:cs="Times New Roman"/>
          <w:sz w:val="24"/>
          <w:szCs w:val="24"/>
        </w:rPr>
        <w:t xml:space="preserve"> установки могут устанавливаться как очистные сооружения на фермах, птицефабриках, спиртовых заводах, сахарных заводах, мясокомбинатах. </w:t>
      </w:r>
      <w:proofErr w:type="spellStart"/>
      <w:r w:rsidRPr="00D41CF6">
        <w:rPr>
          <w:rFonts w:ascii="Times New Roman" w:hAnsi="Times New Roman" w:cs="Times New Roman"/>
          <w:sz w:val="24"/>
          <w:szCs w:val="24"/>
        </w:rPr>
        <w:t>Биогазовая</w:t>
      </w:r>
      <w:proofErr w:type="spellEnd"/>
      <w:r w:rsidRPr="00D41CF6">
        <w:rPr>
          <w:rFonts w:ascii="Times New Roman" w:hAnsi="Times New Roman" w:cs="Times New Roman"/>
          <w:sz w:val="24"/>
          <w:szCs w:val="24"/>
        </w:rPr>
        <w:t xml:space="preserve"> установка может заменить ветеринарно-санитарный завод, т. е. падаль может утилизироваться в </w:t>
      </w:r>
      <w:proofErr w:type="spellStart"/>
      <w:r w:rsidRPr="00D41CF6">
        <w:rPr>
          <w:rFonts w:ascii="Times New Roman" w:hAnsi="Times New Roman" w:cs="Times New Roman"/>
          <w:sz w:val="24"/>
          <w:szCs w:val="24"/>
        </w:rPr>
        <w:t>биогаз</w:t>
      </w:r>
      <w:proofErr w:type="spellEnd"/>
      <w:r w:rsidRPr="00D41CF6">
        <w:rPr>
          <w:rFonts w:ascii="Times New Roman" w:hAnsi="Times New Roman" w:cs="Times New Roman"/>
          <w:sz w:val="24"/>
          <w:szCs w:val="24"/>
        </w:rPr>
        <w:t xml:space="preserve"> вместо производства </w:t>
      </w:r>
      <w:proofErr w:type="spellStart"/>
      <w:proofErr w:type="gramStart"/>
      <w:r w:rsidRPr="00D41CF6">
        <w:rPr>
          <w:rFonts w:ascii="Times New Roman" w:hAnsi="Times New Roman" w:cs="Times New Roman"/>
          <w:sz w:val="24"/>
          <w:szCs w:val="24"/>
        </w:rPr>
        <w:t>мясо-костной</w:t>
      </w:r>
      <w:proofErr w:type="spellEnd"/>
      <w:proofErr w:type="gramEnd"/>
      <w:r w:rsidRPr="00D41CF6">
        <w:rPr>
          <w:rFonts w:ascii="Times New Roman" w:hAnsi="Times New Roman" w:cs="Times New Roman"/>
          <w:sz w:val="24"/>
          <w:szCs w:val="24"/>
        </w:rPr>
        <w:t xml:space="preserve"> муки. (3)</w:t>
      </w:r>
    </w:p>
    <w:p w:rsidR="00D41CF6" w:rsidRPr="00D41CF6" w:rsidRDefault="00D41CF6" w:rsidP="002F3F9D">
      <w:pPr>
        <w:tabs>
          <w:tab w:val="left" w:pos="2565"/>
        </w:tabs>
        <w:spacing w:line="240" w:lineRule="auto"/>
        <w:jc w:val="center"/>
        <w:rPr>
          <w:rFonts w:ascii="Times New Roman" w:hAnsi="Times New Roman" w:cs="Times New Roman"/>
          <w:b/>
          <w:sz w:val="24"/>
          <w:szCs w:val="24"/>
        </w:rPr>
      </w:pPr>
      <w:r w:rsidRPr="00D41CF6">
        <w:rPr>
          <w:rFonts w:ascii="Times New Roman" w:hAnsi="Times New Roman" w:cs="Times New Roman"/>
          <w:b/>
          <w:sz w:val="24"/>
          <w:szCs w:val="24"/>
        </w:rPr>
        <w:t xml:space="preserve">Обобщенная схема </w:t>
      </w:r>
      <w:proofErr w:type="spellStart"/>
      <w:r w:rsidRPr="00D41CF6">
        <w:rPr>
          <w:rFonts w:ascii="Times New Roman" w:hAnsi="Times New Roman" w:cs="Times New Roman"/>
          <w:b/>
          <w:sz w:val="24"/>
          <w:szCs w:val="24"/>
        </w:rPr>
        <w:t>биогазовой</w:t>
      </w:r>
      <w:proofErr w:type="spellEnd"/>
      <w:r w:rsidRPr="00D41CF6">
        <w:rPr>
          <w:rFonts w:ascii="Times New Roman" w:hAnsi="Times New Roman" w:cs="Times New Roman"/>
          <w:b/>
          <w:sz w:val="24"/>
          <w:szCs w:val="24"/>
        </w:rPr>
        <w:t xml:space="preserve"> установки</w:t>
      </w:r>
    </w:p>
    <w:p w:rsidR="00B01C92" w:rsidRPr="00D41CF6" w:rsidRDefault="00D41CF6" w:rsidP="0091335F">
      <w:pPr>
        <w:tabs>
          <w:tab w:val="left" w:pos="1695"/>
        </w:tabs>
        <w:spacing w:line="240" w:lineRule="auto"/>
        <w:jc w:val="center"/>
        <w:rPr>
          <w:rFonts w:ascii="Times New Roman" w:hAnsi="Times New Roman" w:cs="Times New Roman"/>
          <w:sz w:val="24"/>
          <w:szCs w:val="24"/>
        </w:rPr>
      </w:pPr>
      <w:r w:rsidRPr="00D41CF6">
        <w:rPr>
          <w:rFonts w:ascii="Times New Roman" w:hAnsi="Times New Roman" w:cs="Times New Roman"/>
          <w:noProof/>
          <w:sz w:val="24"/>
          <w:szCs w:val="24"/>
          <w:lang w:eastAsia="ru-RU"/>
        </w:rPr>
        <w:lastRenderedPageBreak/>
        <w:drawing>
          <wp:inline distT="0" distB="0" distL="0" distR="0">
            <wp:extent cx="4152900" cy="216480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57521" cy="2167218"/>
                    </a:xfrm>
                    <a:prstGeom prst="rect">
                      <a:avLst/>
                    </a:prstGeom>
                    <a:noFill/>
                    <a:ln w="9525">
                      <a:noFill/>
                      <a:miter lim="800000"/>
                      <a:headEnd/>
                      <a:tailEnd/>
                    </a:ln>
                  </pic:spPr>
                </pic:pic>
              </a:graphicData>
            </a:graphic>
          </wp:inline>
        </w:drawing>
      </w:r>
    </w:p>
    <w:p w:rsidR="00D41CF6" w:rsidRPr="00D41CF6" w:rsidRDefault="00D41CF6" w:rsidP="002F3F9D">
      <w:pPr>
        <w:tabs>
          <w:tab w:val="left" w:pos="3690"/>
        </w:tabs>
        <w:spacing w:line="240" w:lineRule="auto"/>
        <w:rPr>
          <w:rFonts w:ascii="Times New Roman" w:hAnsi="Times New Roman" w:cs="Times New Roman"/>
          <w:sz w:val="24"/>
          <w:szCs w:val="24"/>
        </w:rPr>
      </w:pPr>
      <w:r w:rsidRPr="00D41CF6">
        <w:rPr>
          <w:rFonts w:ascii="Times New Roman" w:hAnsi="Times New Roman" w:cs="Times New Roman"/>
          <w:sz w:val="24"/>
          <w:szCs w:val="24"/>
        </w:rPr>
        <w:t xml:space="preserve">Описание устройства </w:t>
      </w:r>
      <w:proofErr w:type="spellStart"/>
      <w:r w:rsidRPr="00D41CF6">
        <w:rPr>
          <w:rFonts w:ascii="Times New Roman" w:hAnsi="Times New Roman" w:cs="Times New Roman"/>
          <w:sz w:val="24"/>
          <w:szCs w:val="24"/>
        </w:rPr>
        <w:t>биогазовой</w:t>
      </w:r>
      <w:proofErr w:type="spellEnd"/>
      <w:r w:rsidRPr="00D41CF6">
        <w:rPr>
          <w:rFonts w:ascii="Times New Roman" w:hAnsi="Times New Roman" w:cs="Times New Roman"/>
          <w:sz w:val="24"/>
          <w:szCs w:val="24"/>
        </w:rPr>
        <w:t xml:space="preserve"> установки: 1 - ферма; 2 - </w:t>
      </w:r>
      <w:proofErr w:type="spellStart"/>
      <w:r w:rsidRPr="00D41CF6">
        <w:rPr>
          <w:rFonts w:ascii="Times New Roman" w:hAnsi="Times New Roman" w:cs="Times New Roman"/>
          <w:sz w:val="24"/>
          <w:szCs w:val="24"/>
        </w:rPr>
        <w:t>навозоприемник</w:t>
      </w:r>
      <w:proofErr w:type="spellEnd"/>
      <w:r w:rsidRPr="00D41CF6">
        <w:rPr>
          <w:rFonts w:ascii="Times New Roman" w:hAnsi="Times New Roman" w:cs="Times New Roman"/>
          <w:sz w:val="24"/>
          <w:szCs w:val="24"/>
        </w:rPr>
        <w:t>; 3 - насос;4 - метантанк;5 - газгольдер;6 - теплообменник; 7 - котел; 8 - хранилище удобрения</w:t>
      </w:r>
    </w:p>
    <w:p w:rsidR="00D41CF6" w:rsidRPr="00D41CF6" w:rsidRDefault="00D41CF6" w:rsidP="002F3F9D">
      <w:pPr>
        <w:spacing w:line="240" w:lineRule="auto"/>
        <w:jc w:val="both"/>
        <w:rPr>
          <w:rFonts w:ascii="Times New Roman" w:hAnsi="Times New Roman" w:cs="Times New Roman"/>
          <w:sz w:val="24"/>
          <w:szCs w:val="24"/>
        </w:rPr>
      </w:pPr>
      <w:proofErr w:type="spellStart"/>
      <w:r w:rsidRPr="00D41CF6">
        <w:rPr>
          <w:rFonts w:ascii="Times New Roman" w:hAnsi="Times New Roman" w:cs="Times New Roman"/>
          <w:b/>
          <w:sz w:val="24"/>
          <w:szCs w:val="24"/>
        </w:rPr>
        <w:t>Биото́пливо</w:t>
      </w:r>
      <w:proofErr w:type="spellEnd"/>
      <w:r w:rsidRPr="00D41CF6">
        <w:rPr>
          <w:rFonts w:ascii="Times New Roman" w:hAnsi="Times New Roman" w:cs="Times New Roman"/>
          <w:sz w:val="24"/>
          <w:szCs w:val="24"/>
        </w:rPr>
        <w:t xml:space="preserve"> — это топливо из биологического сырья, получаемое, как правило, в результате переработки биологических отходов. Существуют также проекты разной степени проработанности, направленные на получение </w:t>
      </w:r>
      <w:proofErr w:type="spellStart"/>
      <w:r w:rsidRPr="00D41CF6">
        <w:rPr>
          <w:rFonts w:ascii="Times New Roman" w:hAnsi="Times New Roman" w:cs="Times New Roman"/>
          <w:sz w:val="24"/>
          <w:szCs w:val="24"/>
        </w:rPr>
        <w:t>биотоплива</w:t>
      </w:r>
      <w:proofErr w:type="spellEnd"/>
      <w:r w:rsidRPr="00D41CF6">
        <w:rPr>
          <w:rFonts w:ascii="Times New Roman" w:hAnsi="Times New Roman" w:cs="Times New Roman"/>
          <w:sz w:val="24"/>
          <w:szCs w:val="24"/>
        </w:rPr>
        <w:t xml:space="preserve"> из целлюлозы и различного типа органических отходов, но эти технологии находятся в ранней стадии разработки или коммерциализации. Различается жидкое </w:t>
      </w:r>
      <w:proofErr w:type="spellStart"/>
      <w:r w:rsidRPr="00D41CF6">
        <w:rPr>
          <w:rFonts w:ascii="Times New Roman" w:hAnsi="Times New Roman" w:cs="Times New Roman"/>
          <w:sz w:val="24"/>
          <w:szCs w:val="24"/>
        </w:rPr>
        <w:t>биотопливо</w:t>
      </w:r>
      <w:proofErr w:type="spellEnd"/>
      <w:r w:rsidRPr="00D41CF6">
        <w:rPr>
          <w:rFonts w:ascii="Times New Roman" w:hAnsi="Times New Roman" w:cs="Times New Roman"/>
          <w:sz w:val="24"/>
          <w:szCs w:val="24"/>
        </w:rPr>
        <w:t xml:space="preserve"> (для двигателей внутреннего сгорания, например, этанол, метанол, </w:t>
      </w:r>
      <w:proofErr w:type="spellStart"/>
      <w:r w:rsidRPr="00D41CF6">
        <w:rPr>
          <w:rFonts w:ascii="Times New Roman" w:hAnsi="Times New Roman" w:cs="Times New Roman"/>
          <w:sz w:val="24"/>
          <w:szCs w:val="24"/>
        </w:rPr>
        <w:t>биодизель</w:t>
      </w:r>
      <w:proofErr w:type="spellEnd"/>
      <w:r w:rsidRPr="00D41CF6">
        <w:rPr>
          <w:rFonts w:ascii="Times New Roman" w:hAnsi="Times New Roman" w:cs="Times New Roman"/>
          <w:sz w:val="24"/>
          <w:szCs w:val="24"/>
        </w:rPr>
        <w:t xml:space="preserve">), твёрдое </w:t>
      </w:r>
      <w:proofErr w:type="spellStart"/>
      <w:r w:rsidRPr="00D41CF6">
        <w:rPr>
          <w:rFonts w:ascii="Times New Roman" w:hAnsi="Times New Roman" w:cs="Times New Roman"/>
          <w:sz w:val="24"/>
          <w:szCs w:val="24"/>
        </w:rPr>
        <w:t>биотопливо</w:t>
      </w:r>
      <w:proofErr w:type="spellEnd"/>
      <w:r w:rsidRPr="00D41CF6">
        <w:rPr>
          <w:rFonts w:ascii="Times New Roman" w:hAnsi="Times New Roman" w:cs="Times New Roman"/>
          <w:sz w:val="24"/>
          <w:szCs w:val="24"/>
        </w:rPr>
        <w:t xml:space="preserve"> (дрова, </w:t>
      </w:r>
      <w:proofErr w:type="spellStart"/>
      <w:r w:rsidRPr="00D41CF6">
        <w:rPr>
          <w:rFonts w:ascii="Times New Roman" w:hAnsi="Times New Roman" w:cs="Times New Roman"/>
          <w:sz w:val="24"/>
          <w:szCs w:val="24"/>
        </w:rPr>
        <w:t>брикеты</w:t>
      </w:r>
      <w:proofErr w:type="gramStart"/>
      <w:r w:rsidRPr="00D41CF6">
        <w:rPr>
          <w:rFonts w:ascii="Times New Roman" w:hAnsi="Times New Roman" w:cs="Times New Roman"/>
          <w:sz w:val="24"/>
          <w:szCs w:val="24"/>
        </w:rPr>
        <w:t>,т</w:t>
      </w:r>
      <w:proofErr w:type="gramEnd"/>
      <w:r w:rsidRPr="00D41CF6">
        <w:rPr>
          <w:rFonts w:ascii="Times New Roman" w:hAnsi="Times New Roman" w:cs="Times New Roman"/>
          <w:sz w:val="24"/>
          <w:szCs w:val="24"/>
        </w:rPr>
        <w:t>опливные</w:t>
      </w:r>
      <w:proofErr w:type="spellEnd"/>
      <w:r w:rsidRPr="00D41CF6">
        <w:rPr>
          <w:rFonts w:ascii="Times New Roman" w:hAnsi="Times New Roman" w:cs="Times New Roman"/>
          <w:sz w:val="24"/>
          <w:szCs w:val="24"/>
        </w:rPr>
        <w:t xml:space="preserve"> гранулы, щепа, солома, лузга) и газообразное (</w:t>
      </w:r>
      <w:proofErr w:type="spellStart"/>
      <w:r w:rsidRPr="00D41CF6">
        <w:rPr>
          <w:rFonts w:ascii="Times New Roman" w:hAnsi="Times New Roman" w:cs="Times New Roman"/>
          <w:sz w:val="24"/>
          <w:szCs w:val="24"/>
        </w:rPr>
        <w:t>биогаз</w:t>
      </w:r>
      <w:proofErr w:type="spellEnd"/>
      <w:r w:rsidRPr="00D41CF6">
        <w:rPr>
          <w:rFonts w:ascii="Times New Roman" w:hAnsi="Times New Roman" w:cs="Times New Roman"/>
          <w:sz w:val="24"/>
          <w:szCs w:val="24"/>
        </w:rPr>
        <w:t>, водород).(3)</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b/>
          <w:sz w:val="24"/>
          <w:szCs w:val="24"/>
        </w:rPr>
        <w:t xml:space="preserve">Экономический эффект: </w:t>
      </w:r>
      <w:r w:rsidRPr="00D41CF6">
        <w:rPr>
          <w:rFonts w:ascii="Times New Roman" w:hAnsi="Times New Roman" w:cs="Times New Roman"/>
          <w:sz w:val="24"/>
          <w:szCs w:val="24"/>
        </w:rPr>
        <w:t xml:space="preserve">по оценкам </w:t>
      </w:r>
      <w:proofErr w:type="spellStart"/>
      <w:r w:rsidRPr="00D41CF6">
        <w:rPr>
          <w:rFonts w:ascii="Times New Roman" w:hAnsi="Times New Roman" w:cs="Times New Roman"/>
          <w:sz w:val="24"/>
          <w:szCs w:val="24"/>
        </w:rPr>
        <w:t>Merrill</w:t>
      </w:r>
      <w:proofErr w:type="spellEnd"/>
      <w:r w:rsidRPr="00D41CF6">
        <w:rPr>
          <w:rFonts w:ascii="Times New Roman" w:hAnsi="Times New Roman" w:cs="Times New Roman"/>
          <w:sz w:val="24"/>
          <w:szCs w:val="24"/>
        </w:rPr>
        <w:t xml:space="preserve"> </w:t>
      </w:r>
      <w:proofErr w:type="spellStart"/>
      <w:r w:rsidRPr="00D41CF6">
        <w:rPr>
          <w:rFonts w:ascii="Times New Roman" w:hAnsi="Times New Roman" w:cs="Times New Roman"/>
          <w:sz w:val="24"/>
          <w:szCs w:val="24"/>
        </w:rPr>
        <w:t>Lynch</w:t>
      </w:r>
      <w:proofErr w:type="spellEnd"/>
      <w:r w:rsidRPr="00D41CF6">
        <w:rPr>
          <w:rFonts w:ascii="Times New Roman" w:hAnsi="Times New Roman" w:cs="Times New Roman"/>
          <w:sz w:val="24"/>
          <w:szCs w:val="24"/>
        </w:rPr>
        <w:t xml:space="preserve"> прекращение производства </w:t>
      </w:r>
      <w:proofErr w:type="spellStart"/>
      <w:r w:rsidRPr="00D41CF6">
        <w:rPr>
          <w:rFonts w:ascii="Times New Roman" w:hAnsi="Times New Roman" w:cs="Times New Roman"/>
          <w:sz w:val="24"/>
          <w:szCs w:val="24"/>
        </w:rPr>
        <w:t>биотоплив</w:t>
      </w:r>
      <w:proofErr w:type="spellEnd"/>
      <w:r w:rsidRPr="00D41CF6">
        <w:rPr>
          <w:rFonts w:ascii="Times New Roman" w:hAnsi="Times New Roman" w:cs="Times New Roman"/>
          <w:sz w:val="24"/>
          <w:szCs w:val="24"/>
        </w:rPr>
        <w:t xml:space="preserve"> приведёт к росту цен на нефть и бензин на 15 %.  (11)</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b/>
          <w:sz w:val="24"/>
          <w:szCs w:val="24"/>
        </w:rPr>
        <w:t xml:space="preserve">Потенциал: </w:t>
      </w:r>
      <w:r w:rsidRPr="00D41CF6">
        <w:rPr>
          <w:rFonts w:ascii="Times New Roman" w:hAnsi="Times New Roman" w:cs="Times New Roman"/>
          <w:sz w:val="24"/>
          <w:szCs w:val="24"/>
        </w:rPr>
        <w:t xml:space="preserve">по оценкам Стэндфордского университета во всём мире из сельскохозяйственного оборота выведено 385—472 миллиона гектаров земли. Выращивание на этих землях сырья для производства </w:t>
      </w:r>
      <w:proofErr w:type="spellStart"/>
      <w:r w:rsidRPr="00D41CF6">
        <w:rPr>
          <w:rFonts w:ascii="Times New Roman" w:hAnsi="Times New Roman" w:cs="Times New Roman"/>
          <w:sz w:val="24"/>
          <w:szCs w:val="24"/>
        </w:rPr>
        <w:t>биотоплив</w:t>
      </w:r>
      <w:proofErr w:type="spellEnd"/>
      <w:r w:rsidRPr="00D41CF6">
        <w:rPr>
          <w:rFonts w:ascii="Times New Roman" w:hAnsi="Times New Roman" w:cs="Times New Roman"/>
          <w:sz w:val="24"/>
          <w:szCs w:val="24"/>
        </w:rPr>
        <w:t xml:space="preserve"> позволит увеличить долю </w:t>
      </w:r>
      <w:proofErr w:type="spellStart"/>
      <w:r w:rsidRPr="00D41CF6">
        <w:rPr>
          <w:rFonts w:ascii="Times New Roman" w:hAnsi="Times New Roman" w:cs="Times New Roman"/>
          <w:sz w:val="24"/>
          <w:szCs w:val="24"/>
        </w:rPr>
        <w:t>биотоплив</w:t>
      </w:r>
      <w:proofErr w:type="spellEnd"/>
      <w:r w:rsidRPr="00D41CF6">
        <w:rPr>
          <w:rFonts w:ascii="Times New Roman" w:hAnsi="Times New Roman" w:cs="Times New Roman"/>
          <w:sz w:val="24"/>
          <w:szCs w:val="24"/>
        </w:rPr>
        <w:t xml:space="preserve"> до 8 % в мировом энергетическом балансе. На транспорте доля </w:t>
      </w:r>
      <w:proofErr w:type="spellStart"/>
      <w:r w:rsidRPr="00D41CF6">
        <w:rPr>
          <w:rFonts w:ascii="Times New Roman" w:hAnsi="Times New Roman" w:cs="Times New Roman"/>
          <w:sz w:val="24"/>
          <w:szCs w:val="24"/>
        </w:rPr>
        <w:t>биотоплив</w:t>
      </w:r>
      <w:proofErr w:type="spellEnd"/>
      <w:r w:rsidRPr="00D41CF6">
        <w:rPr>
          <w:rFonts w:ascii="Times New Roman" w:hAnsi="Times New Roman" w:cs="Times New Roman"/>
          <w:sz w:val="24"/>
          <w:szCs w:val="24"/>
        </w:rPr>
        <w:t xml:space="preserve"> может составить от 10 % до 25 %. (14)</w:t>
      </w:r>
      <w:proofErr w:type="spellStart"/>
      <w:r w:rsidRPr="00D41CF6">
        <w:rPr>
          <w:rFonts w:ascii="Times New Roman" w:hAnsi="Times New Roman" w:cs="Times New Roman"/>
          <w:sz w:val="24"/>
          <w:szCs w:val="24"/>
        </w:rPr>
        <w:t>Биогазовая</w:t>
      </w:r>
      <w:proofErr w:type="spellEnd"/>
      <w:r w:rsidRPr="00D41CF6">
        <w:rPr>
          <w:rFonts w:ascii="Times New Roman" w:hAnsi="Times New Roman" w:cs="Times New Roman"/>
          <w:sz w:val="24"/>
          <w:szCs w:val="24"/>
        </w:rPr>
        <w:t xml:space="preserve"> установка дает «доходы на отходах». </w:t>
      </w:r>
      <w:proofErr w:type="spellStart"/>
      <w:r w:rsidRPr="00D41CF6">
        <w:rPr>
          <w:rFonts w:ascii="Times New Roman" w:hAnsi="Times New Roman" w:cs="Times New Roman"/>
          <w:sz w:val="24"/>
          <w:szCs w:val="24"/>
        </w:rPr>
        <w:t>Биогазовая</w:t>
      </w:r>
      <w:proofErr w:type="spellEnd"/>
      <w:r w:rsidRPr="00D41CF6">
        <w:rPr>
          <w:rFonts w:ascii="Times New Roman" w:hAnsi="Times New Roman" w:cs="Times New Roman"/>
          <w:sz w:val="24"/>
          <w:szCs w:val="24"/>
        </w:rPr>
        <w:t xml:space="preserve"> установка- это самая активная система очистки. Система, которая очень быстро самоокупается и приносит прибыль. </w:t>
      </w:r>
    </w:p>
    <w:p w:rsidR="00D41CF6" w:rsidRPr="00D41CF6" w:rsidRDefault="00D41CF6" w:rsidP="002F3F9D">
      <w:pPr>
        <w:spacing w:line="240" w:lineRule="auto"/>
        <w:jc w:val="both"/>
        <w:rPr>
          <w:rFonts w:ascii="Times New Roman" w:hAnsi="Times New Roman" w:cs="Times New Roman"/>
          <w:sz w:val="24"/>
          <w:szCs w:val="24"/>
        </w:rPr>
      </w:pPr>
      <w:r w:rsidRPr="00D41CF6">
        <w:rPr>
          <w:rFonts w:ascii="Times New Roman" w:hAnsi="Times New Roman" w:cs="Times New Roman"/>
          <w:b/>
          <w:sz w:val="24"/>
          <w:szCs w:val="24"/>
        </w:rPr>
        <w:t xml:space="preserve">Сырье для получения </w:t>
      </w:r>
      <w:proofErr w:type="spellStart"/>
      <w:r w:rsidRPr="00D41CF6">
        <w:rPr>
          <w:rFonts w:ascii="Times New Roman" w:hAnsi="Times New Roman" w:cs="Times New Roman"/>
          <w:b/>
          <w:sz w:val="24"/>
          <w:szCs w:val="24"/>
        </w:rPr>
        <w:t>биогаза</w:t>
      </w:r>
      <w:proofErr w:type="spellEnd"/>
      <w:r w:rsidRPr="00D41CF6">
        <w:rPr>
          <w:rFonts w:ascii="Times New Roman" w:hAnsi="Times New Roman" w:cs="Times New Roman"/>
          <w:b/>
          <w:sz w:val="24"/>
          <w:szCs w:val="24"/>
        </w:rPr>
        <w:t>:</w:t>
      </w:r>
      <w:r w:rsidRPr="00D41CF6">
        <w:rPr>
          <w:rFonts w:ascii="Times New Roman" w:hAnsi="Times New Roman" w:cs="Times New Roman"/>
          <w:sz w:val="24"/>
          <w:szCs w:val="24"/>
        </w:rPr>
        <w:t xml:space="preserve"> как сырье можно использовать навоз КРС, навоз свиней, птичий помет, отходы бойни (кровь, жир, кишки, </w:t>
      </w:r>
      <w:proofErr w:type="spellStart"/>
      <w:r w:rsidRPr="00D41CF6">
        <w:rPr>
          <w:rFonts w:ascii="Times New Roman" w:hAnsi="Times New Roman" w:cs="Times New Roman"/>
          <w:sz w:val="24"/>
          <w:szCs w:val="24"/>
        </w:rPr>
        <w:t>каныгу</w:t>
      </w:r>
      <w:proofErr w:type="spellEnd"/>
      <w:r w:rsidRPr="00D41CF6">
        <w:rPr>
          <w:rFonts w:ascii="Times New Roman" w:hAnsi="Times New Roman" w:cs="Times New Roman"/>
          <w:sz w:val="24"/>
          <w:szCs w:val="24"/>
        </w:rPr>
        <w:t xml:space="preserve">), отходы растений, силос, прогнившее зерно, канализационные стоки, жиры, </w:t>
      </w:r>
      <w:proofErr w:type="spellStart"/>
      <w:r w:rsidRPr="00D41CF6">
        <w:rPr>
          <w:rFonts w:ascii="Times New Roman" w:hAnsi="Times New Roman" w:cs="Times New Roman"/>
          <w:sz w:val="24"/>
          <w:szCs w:val="24"/>
        </w:rPr>
        <w:t>биомусор</w:t>
      </w:r>
      <w:proofErr w:type="spellEnd"/>
      <w:r w:rsidRPr="00D41CF6">
        <w:rPr>
          <w:rFonts w:ascii="Times New Roman" w:hAnsi="Times New Roman" w:cs="Times New Roman"/>
          <w:sz w:val="24"/>
          <w:szCs w:val="24"/>
        </w:rPr>
        <w:t xml:space="preserve">, отходы пищевой промышленности, солодовый осадок, выжимку, </w:t>
      </w:r>
      <w:proofErr w:type="spellStart"/>
      <w:r w:rsidRPr="00D41CF6">
        <w:rPr>
          <w:rFonts w:ascii="Times New Roman" w:hAnsi="Times New Roman" w:cs="Times New Roman"/>
          <w:sz w:val="24"/>
          <w:szCs w:val="24"/>
        </w:rPr>
        <w:t>послеспиртовую</w:t>
      </w:r>
      <w:proofErr w:type="spellEnd"/>
      <w:r w:rsidRPr="00D41CF6">
        <w:rPr>
          <w:rFonts w:ascii="Times New Roman" w:hAnsi="Times New Roman" w:cs="Times New Roman"/>
          <w:sz w:val="24"/>
          <w:szCs w:val="24"/>
        </w:rPr>
        <w:t xml:space="preserve"> барду, барду </w:t>
      </w:r>
      <w:proofErr w:type="spellStart"/>
      <w:r w:rsidRPr="00D41CF6">
        <w:rPr>
          <w:rFonts w:ascii="Times New Roman" w:hAnsi="Times New Roman" w:cs="Times New Roman"/>
          <w:sz w:val="24"/>
          <w:szCs w:val="24"/>
        </w:rPr>
        <w:t>биоэтанольного</w:t>
      </w:r>
      <w:proofErr w:type="spellEnd"/>
      <w:r w:rsidRPr="00D41CF6">
        <w:rPr>
          <w:rFonts w:ascii="Times New Roman" w:hAnsi="Times New Roman" w:cs="Times New Roman"/>
          <w:sz w:val="24"/>
          <w:szCs w:val="24"/>
        </w:rPr>
        <w:t xml:space="preserve"> завода, пивоваренную дробину (отходы </w:t>
      </w:r>
      <w:proofErr w:type="gramStart"/>
      <w:r w:rsidRPr="00D41CF6">
        <w:rPr>
          <w:rFonts w:ascii="Times New Roman" w:hAnsi="Times New Roman" w:cs="Times New Roman"/>
          <w:sz w:val="24"/>
          <w:szCs w:val="24"/>
        </w:rPr>
        <w:t>дробленного</w:t>
      </w:r>
      <w:proofErr w:type="gramEnd"/>
      <w:r w:rsidRPr="00D41CF6">
        <w:rPr>
          <w:rFonts w:ascii="Times New Roman" w:hAnsi="Times New Roman" w:cs="Times New Roman"/>
          <w:sz w:val="24"/>
          <w:szCs w:val="24"/>
        </w:rPr>
        <w:t xml:space="preserve"> солода после фильтрации сусла), свекольный и </w:t>
      </w:r>
      <w:proofErr w:type="spellStart"/>
      <w:r w:rsidRPr="00D41CF6">
        <w:rPr>
          <w:rFonts w:ascii="Times New Roman" w:hAnsi="Times New Roman" w:cs="Times New Roman"/>
          <w:sz w:val="24"/>
          <w:szCs w:val="24"/>
        </w:rPr>
        <w:t>фрутовый</w:t>
      </w:r>
      <w:proofErr w:type="spellEnd"/>
      <w:r w:rsidRPr="00D41CF6">
        <w:rPr>
          <w:rFonts w:ascii="Times New Roman" w:hAnsi="Times New Roman" w:cs="Times New Roman"/>
          <w:sz w:val="24"/>
          <w:szCs w:val="24"/>
        </w:rPr>
        <w:t xml:space="preserve"> жом, свекольную ботву, технический глицерин (от производства </w:t>
      </w:r>
      <w:proofErr w:type="spellStart"/>
      <w:r w:rsidRPr="00D41CF6">
        <w:rPr>
          <w:rFonts w:ascii="Times New Roman" w:hAnsi="Times New Roman" w:cs="Times New Roman"/>
          <w:sz w:val="24"/>
          <w:szCs w:val="24"/>
        </w:rPr>
        <w:t>биодизеля</w:t>
      </w:r>
      <w:proofErr w:type="spellEnd"/>
      <w:r w:rsidRPr="00D41CF6">
        <w:rPr>
          <w:rFonts w:ascii="Times New Roman" w:hAnsi="Times New Roman" w:cs="Times New Roman"/>
          <w:sz w:val="24"/>
          <w:szCs w:val="24"/>
        </w:rPr>
        <w:t xml:space="preserve">), мезгу и другие отходы </w:t>
      </w:r>
      <w:proofErr w:type="spellStart"/>
      <w:r w:rsidRPr="00D41CF6">
        <w:rPr>
          <w:rFonts w:ascii="Times New Roman" w:hAnsi="Times New Roman" w:cs="Times New Roman"/>
          <w:sz w:val="24"/>
          <w:szCs w:val="24"/>
        </w:rPr>
        <w:t>крохмало-паточного</w:t>
      </w:r>
      <w:proofErr w:type="spellEnd"/>
      <w:r w:rsidRPr="00D41CF6">
        <w:rPr>
          <w:rFonts w:ascii="Times New Roman" w:hAnsi="Times New Roman" w:cs="Times New Roman"/>
          <w:sz w:val="24"/>
          <w:szCs w:val="24"/>
        </w:rPr>
        <w:t xml:space="preserve"> производства, молочную сыворотку, водоросли. Большинство видов сырья можно смешивать с другими видами сырья. (10), (12)</w:t>
      </w:r>
    </w:p>
    <w:p w:rsidR="00D41CF6" w:rsidRPr="00D41CF6" w:rsidRDefault="00D41CF6" w:rsidP="002F3F9D">
      <w:pPr>
        <w:spacing w:line="240" w:lineRule="auto"/>
        <w:jc w:val="center"/>
        <w:rPr>
          <w:rFonts w:ascii="Times New Roman" w:hAnsi="Times New Roman" w:cs="Times New Roman"/>
          <w:b/>
          <w:sz w:val="24"/>
          <w:szCs w:val="24"/>
        </w:rPr>
      </w:pPr>
      <w:r w:rsidRPr="00D41CF6">
        <w:rPr>
          <w:rFonts w:ascii="Times New Roman" w:hAnsi="Times New Roman" w:cs="Times New Roman"/>
          <w:b/>
          <w:sz w:val="24"/>
          <w:szCs w:val="24"/>
        </w:rPr>
        <w:t xml:space="preserve">Влияние вида исходного сырья на выход </w:t>
      </w:r>
      <w:proofErr w:type="spellStart"/>
      <w:r w:rsidRPr="00D41CF6">
        <w:rPr>
          <w:rFonts w:ascii="Times New Roman" w:hAnsi="Times New Roman" w:cs="Times New Roman"/>
          <w:b/>
          <w:sz w:val="24"/>
          <w:szCs w:val="24"/>
        </w:rPr>
        <w:t>биогаза</w:t>
      </w:r>
      <w:proofErr w:type="spellEnd"/>
      <w:r w:rsidRPr="00D41CF6">
        <w:rPr>
          <w:rFonts w:ascii="Times New Roman" w:hAnsi="Times New Roman" w:cs="Times New Roman"/>
          <w:b/>
          <w:sz w:val="24"/>
          <w:szCs w:val="24"/>
        </w:rPr>
        <w:t xml:space="preserve"> (9)</w:t>
      </w:r>
    </w:p>
    <w:tbl>
      <w:tblPr>
        <w:tblStyle w:val="a3"/>
        <w:tblW w:w="0" w:type="auto"/>
        <w:tblLook w:val="04A0"/>
      </w:tblPr>
      <w:tblGrid>
        <w:gridCol w:w="817"/>
        <w:gridCol w:w="3119"/>
        <w:gridCol w:w="3242"/>
        <w:gridCol w:w="2393"/>
      </w:tblGrid>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w:t>
            </w:r>
          </w:p>
        </w:tc>
        <w:tc>
          <w:tcPr>
            <w:tcW w:w="3119"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Исходное сырье</w:t>
            </w:r>
          </w:p>
        </w:tc>
        <w:tc>
          <w:tcPr>
            <w:tcW w:w="3242"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 xml:space="preserve">Выход </w:t>
            </w:r>
            <w:proofErr w:type="spellStart"/>
            <w:r w:rsidRPr="00D41CF6">
              <w:rPr>
                <w:rFonts w:ascii="Times New Roman" w:hAnsi="Times New Roman" w:cs="Times New Roman"/>
                <w:sz w:val="24"/>
                <w:szCs w:val="24"/>
              </w:rPr>
              <w:t>биогаза</w:t>
            </w:r>
            <w:proofErr w:type="spellEnd"/>
            <w:r w:rsidRPr="00D41CF6">
              <w:rPr>
                <w:rFonts w:ascii="Times New Roman" w:hAnsi="Times New Roman" w:cs="Times New Roman"/>
                <w:sz w:val="24"/>
                <w:szCs w:val="24"/>
              </w:rPr>
              <w:t xml:space="preserve"> из 1 кг сухого вещества, л/кг.</w:t>
            </w:r>
          </w:p>
        </w:tc>
        <w:tc>
          <w:tcPr>
            <w:tcW w:w="2393" w:type="dxa"/>
          </w:tcPr>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Содержание</w:t>
            </w:r>
          </w:p>
          <w:p w:rsidR="00D41CF6" w:rsidRPr="00D41CF6" w:rsidRDefault="00D41CF6" w:rsidP="002F3F9D">
            <w:pPr>
              <w:tabs>
                <w:tab w:val="left" w:pos="8310"/>
              </w:tabs>
              <w:rPr>
                <w:rFonts w:ascii="Times New Roman" w:hAnsi="Times New Roman" w:cs="Times New Roman"/>
                <w:sz w:val="24"/>
                <w:szCs w:val="24"/>
              </w:rPr>
            </w:pPr>
            <w:r w:rsidRPr="00D41CF6">
              <w:rPr>
                <w:rFonts w:ascii="Times New Roman" w:hAnsi="Times New Roman" w:cs="Times New Roman"/>
                <w:sz w:val="24"/>
                <w:szCs w:val="24"/>
              </w:rPr>
              <w:t xml:space="preserve">                                                                                                                           метана в газе, %</w:t>
            </w:r>
          </w:p>
          <w:p w:rsidR="00D41CF6" w:rsidRPr="00D41CF6" w:rsidRDefault="00D41CF6" w:rsidP="002F3F9D">
            <w:pPr>
              <w:jc w:val="center"/>
              <w:rPr>
                <w:rFonts w:ascii="Times New Roman" w:hAnsi="Times New Roman" w:cs="Times New Roman"/>
                <w:b/>
                <w:sz w:val="24"/>
                <w:szCs w:val="24"/>
              </w:rPr>
            </w:pP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1.</w:t>
            </w:r>
          </w:p>
        </w:tc>
        <w:tc>
          <w:tcPr>
            <w:tcW w:w="3119" w:type="dxa"/>
          </w:tcPr>
          <w:p w:rsidR="00D41CF6" w:rsidRPr="00D41CF6" w:rsidRDefault="00D41CF6" w:rsidP="002F3F9D">
            <w:pPr>
              <w:rPr>
                <w:rFonts w:ascii="Times New Roman" w:hAnsi="Times New Roman" w:cs="Times New Roman"/>
                <w:b/>
                <w:sz w:val="24"/>
                <w:szCs w:val="24"/>
              </w:rPr>
            </w:pPr>
            <w:r w:rsidRPr="00D41CF6">
              <w:rPr>
                <w:rFonts w:ascii="Times New Roman" w:hAnsi="Times New Roman" w:cs="Times New Roman"/>
                <w:sz w:val="24"/>
                <w:szCs w:val="24"/>
              </w:rPr>
              <w:t>Трава</w:t>
            </w:r>
          </w:p>
        </w:tc>
        <w:tc>
          <w:tcPr>
            <w:tcW w:w="3242"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630</w:t>
            </w:r>
          </w:p>
        </w:tc>
        <w:tc>
          <w:tcPr>
            <w:tcW w:w="2393" w:type="dxa"/>
          </w:tcPr>
          <w:p w:rsidR="00D41CF6" w:rsidRPr="00D41CF6" w:rsidRDefault="00D41CF6" w:rsidP="002F3F9D">
            <w:pPr>
              <w:tabs>
                <w:tab w:val="left" w:pos="2595"/>
              </w:tabs>
              <w:jc w:val="center"/>
              <w:rPr>
                <w:rFonts w:ascii="Times New Roman" w:hAnsi="Times New Roman" w:cs="Times New Roman"/>
                <w:sz w:val="24"/>
                <w:szCs w:val="24"/>
              </w:rPr>
            </w:pPr>
            <w:r w:rsidRPr="00D41CF6">
              <w:rPr>
                <w:rFonts w:ascii="Times New Roman" w:hAnsi="Times New Roman" w:cs="Times New Roman"/>
                <w:sz w:val="24"/>
                <w:szCs w:val="24"/>
              </w:rPr>
              <w:t>70</w:t>
            </w:r>
          </w:p>
          <w:p w:rsidR="00D41CF6" w:rsidRPr="00D41CF6" w:rsidRDefault="00D41CF6" w:rsidP="002F3F9D">
            <w:pPr>
              <w:jc w:val="center"/>
              <w:rPr>
                <w:rFonts w:ascii="Times New Roman" w:hAnsi="Times New Roman" w:cs="Times New Roman"/>
                <w:b/>
                <w:sz w:val="24"/>
                <w:szCs w:val="24"/>
              </w:rPr>
            </w:pP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2.</w:t>
            </w:r>
          </w:p>
        </w:tc>
        <w:tc>
          <w:tcPr>
            <w:tcW w:w="3119" w:type="dxa"/>
          </w:tcPr>
          <w:p w:rsidR="00D41CF6" w:rsidRPr="00D41CF6" w:rsidRDefault="00D41CF6" w:rsidP="002F3F9D">
            <w:pPr>
              <w:rPr>
                <w:rFonts w:ascii="Times New Roman" w:hAnsi="Times New Roman" w:cs="Times New Roman"/>
                <w:b/>
                <w:sz w:val="24"/>
                <w:szCs w:val="24"/>
              </w:rPr>
            </w:pPr>
            <w:r w:rsidRPr="00D41CF6">
              <w:rPr>
                <w:rFonts w:ascii="Times New Roman" w:hAnsi="Times New Roman" w:cs="Times New Roman"/>
                <w:sz w:val="24"/>
                <w:szCs w:val="24"/>
              </w:rPr>
              <w:t xml:space="preserve">                                         </w:t>
            </w:r>
            <w:r w:rsidRPr="00D41CF6">
              <w:rPr>
                <w:rFonts w:ascii="Times New Roman" w:hAnsi="Times New Roman" w:cs="Times New Roman"/>
                <w:sz w:val="24"/>
                <w:szCs w:val="24"/>
              </w:rPr>
              <w:lastRenderedPageBreak/>
              <w:t>Древесная листва</w:t>
            </w:r>
          </w:p>
        </w:tc>
        <w:tc>
          <w:tcPr>
            <w:tcW w:w="3242" w:type="dxa"/>
          </w:tcPr>
          <w:p w:rsidR="00D41CF6" w:rsidRPr="00D41CF6" w:rsidRDefault="00D41CF6" w:rsidP="002F3F9D">
            <w:pPr>
              <w:jc w:val="both"/>
              <w:rPr>
                <w:rFonts w:ascii="Times New Roman" w:hAnsi="Times New Roman" w:cs="Times New Roman"/>
                <w:b/>
                <w:sz w:val="24"/>
                <w:szCs w:val="24"/>
              </w:rPr>
            </w:pPr>
            <w:r w:rsidRPr="00D41CF6">
              <w:rPr>
                <w:rFonts w:ascii="Times New Roman" w:hAnsi="Times New Roman" w:cs="Times New Roman"/>
                <w:sz w:val="24"/>
                <w:szCs w:val="24"/>
              </w:rPr>
              <w:lastRenderedPageBreak/>
              <w:t xml:space="preserve">                      220</w:t>
            </w:r>
          </w:p>
        </w:tc>
        <w:tc>
          <w:tcPr>
            <w:tcW w:w="2393"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59</w:t>
            </w: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3.</w:t>
            </w:r>
          </w:p>
        </w:tc>
        <w:tc>
          <w:tcPr>
            <w:tcW w:w="3119" w:type="dxa"/>
          </w:tcPr>
          <w:p w:rsidR="00D41CF6" w:rsidRPr="00D41CF6" w:rsidRDefault="00D41CF6" w:rsidP="002F3F9D">
            <w:pPr>
              <w:rPr>
                <w:rFonts w:ascii="Times New Roman" w:hAnsi="Times New Roman" w:cs="Times New Roman"/>
                <w:sz w:val="24"/>
                <w:szCs w:val="24"/>
              </w:rPr>
            </w:pPr>
          </w:p>
          <w:p w:rsidR="00D41CF6" w:rsidRPr="00D41CF6" w:rsidRDefault="00D41CF6" w:rsidP="002F3F9D">
            <w:pPr>
              <w:rPr>
                <w:rFonts w:ascii="Times New Roman" w:hAnsi="Times New Roman" w:cs="Times New Roman"/>
                <w:b/>
                <w:sz w:val="24"/>
                <w:szCs w:val="24"/>
              </w:rPr>
            </w:pPr>
            <w:r w:rsidRPr="00D41CF6">
              <w:rPr>
                <w:rFonts w:ascii="Times New Roman" w:hAnsi="Times New Roman" w:cs="Times New Roman"/>
                <w:sz w:val="24"/>
                <w:szCs w:val="24"/>
              </w:rPr>
              <w:t>Сосновая игла</w:t>
            </w:r>
          </w:p>
        </w:tc>
        <w:tc>
          <w:tcPr>
            <w:tcW w:w="3242" w:type="dxa"/>
          </w:tcPr>
          <w:p w:rsidR="00D41CF6" w:rsidRPr="00D41CF6" w:rsidRDefault="00D41CF6" w:rsidP="002F3F9D">
            <w:pPr>
              <w:jc w:val="center"/>
              <w:rPr>
                <w:rFonts w:ascii="Times New Roman" w:hAnsi="Times New Roman" w:cs="Times New Roman"/>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370</w:t>
            </w:r>
          </w:p>
        </w:tc>
        <w:tc>
          <w:tcPr>
            <w:tcW w:w="2393"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 xml:space="preserve">                                                                                   69</w:t>
            </w: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4.</w:t>
            </w:r>
          </w:p>
        </w:tc>
        <w:tc>
          <w:tcPr>
            <w:tcW w:w="3119"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rPr>
                <w:rFonts w:ascii="Times New Roman" w:hAnsi="Times New Roman" w:cs="Times New Roman"/>
                <w:b/>
                <w:sz w:val="24"/>
                <w:szCs w:val="24"/>
              </w:rPr>
            </w:pPr>
            <w:r w:rsidRPr="00D41CF6">
              <w:rPr>
                <w:rFonts w:ascii="Times New Roman" w:hAnsi="Times New Roman" w:cs="Times New Roman"/>
                <w:sz w:val="24"/>
                <w:szCs w:val="24"/>
              </w:rPr>
              <w:t>Ботва картофельная</w:t>
            </w:r>
          </w:p>
        </w:tc>
        <w:tc>
          <w:tcPr>
            <w:tcW w:w="3242"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420</w:t>
            </w:r>
          </w:p>
        </w:tc>
        <w:tc>
          <w:tcPr>
            <w:tcW w:w="2393"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tabs>
                <w:tab w:val="left" w:pos="2595"/>
              </w:tabs>
              <w:jc w:val="center"/>
              <w:rPr>
                <w:rFonts w:ascii="Times New Roman" w:hAnsi="Times New Roman" w:cs="Times New Roman"/>
                <w:sz w:val="24"/>
                <w:szCs w:val="24"/>
              </w:rPr>
            </w:pPr>
            <w:r w:rsidRPr="00D41CF6">
              <w:rPr>
                <w:rFonts w:ascii="Times New Roman" w:hAnsi="Times New Roman" w:cs="Times New Roman"/>
                <w:sz w:val="24"/>
                <w:szCs w:val="24"/>
              </w:rPr>
              <w:t>60</w:t>
            </w:r>
          </w:p>
          <w:p w:rsidR="00D41CF6" w:rsidRPr="00D41CF6" w:rsidRDefault="00D41CF6" w:rsidP="002F3F9D">
            <w:pPr>
              <w:jc w:val="center"/>
              <w:rPr>
                <w:rFonts w:ascii="Times New Roman" w:hAnsi="Times New Roman" w:cs="Times New Roman"/>
                <w:b/>
                <w:sz w:val="24"/>
                <w:szCs w:val="24"/>
              </w:rPr>
            </w:pP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5.</w:t>
            </w:r>
          </w:p>
        </w:tc>
        <w:tc>
          <w:tcPr>
            <w:tcW w:w="3119" w:type="dxa"/>
          </w:tcPr>
          <w:p w:rsidR="00D41CF6" w:rsidRPr="00D41CF6" w:rsidRDefault="00D41CF6" w:rsidP="002F3F9D">
            <w:pPr>
              <w:rPr>
                <w:rFonts w:ascii="Times New Roman" w:hAnsi="Times New Roman" w:cs="Times New Roman"/>
                <w:b/>
                <w:sz w:val="24"/>
                <w:szCs w:val="24"/>
              </w:rPr>
            </w:pPr>
            <w:r w:rsidRPr="00D41CF6">
              <w:rPr>
                <w:rFonts w:ascii="Times New Roman" w:hAnsi="Times New Roman" w:cs="Times New Roman"/>
                <w:sz w:val="24"/>
                <w:szCs w:val="24"/>
              </w:rPr>
              <w:t>Навоз КРС</w:t>
            </w:r>
          </w:p>
          <w:p w:rsidR="00D41CF6" w:rsidRPr="00D41CF6" w:rsidRDefault="00D41CF6" w:rsidP="002F3F9D">
            <w:pPr>
              <w:jc w:val="center"/>
              <w:rPr>
                <w:rFonts w:ascii="Times New Roman" w:hAnsi="Times New Roman" w:cs="Times New Roman"/>
                <w:b/>
                <w:sz w:val="24"/>
                <w:szCs w:val="24"/>
              </w:rPr>
            </w:pPr>
          </w:p>
        </w:tc>
        <w:tc>
          <w:tcPr>
            <w:tcW w:w="3242"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200..300</w:t>
            </w:r>
          </w:p>
        </w:tc>
        <w:tc>
          <w:tcPr>
            <w:tcW w:w="2393"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60</w:t>
            </w: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6.</w:t>
            </w:r>
          </w:p>
          <w:p w:rsidR="00D41CF6" w:rsidRPr="00D41CF6" w:rsidRDefault="00D41CF6" w:rsidP="002F3F9D">
            <w:pPr>
              <w:jc w:val="center"/>
              <w:rPr>
                <w:rFonts w:ascii="Times New Roman" w:hAnsi="Times New Roman" w:cs="Times New Roman"/>
                <w:b/>
                <w:sz w:val="24"/>
                <w:szCs w:val="24"/>
              </w:rPr>
            </w:pPr>
          </w:p>
        </w:tc>
        <w:tc>
          <w:tcPr>
            <w:tcW w:w="3119" w:type="dxa"/>
          </w:tcPr>
          <w:p w:rsidR="00D41CF6" w:rsidRPr="00D41CF6" w:rsidRDefault="00D41CF6" w:rsidP="002F3F9D">
            <w:pPr>
              <w:rPr>
                <w:rFonts w:ascii="Times New Roman" w:hAnsi="Times New Roman" w:cs="Times New Roman"/>
                <w:b/>
                <w:sz w:val="24"/>
                <w:szCs w:val="24"/>
              </w:rPr>
            </w:pPr>
            <w:r w:rsidRPr="00D41CF6">
              <w:rPr>
                <w:rFonts w:ascii="Times New Roman" w:hAnsi="Times New Roman" w:cs="Times New Roman"/>
                <w:sz w:val="24"/>
                <w:szCs w:val="24"/>
              </w:rPr>
              <w:t>Конский навоз с соломой</w:t>
            </w:r>
          </w:p>
        </w:tc>
        <w:tc>
          <w:tcPr>
            <w:tcW w:w="3242" w:type="dxa"/>
          </w:tcPr>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250</w:t>
            </w:r>
          </w:p>
        </w:tc>
        <w:tc>
          <w:tcPr>
            <w:tcW w:w="2393" w:type="dxa"/>
          </w:tcPr>
          <w:p w:rsidR="00D41CF6" w:rsidRPr="00D41CF6" w:rsidRDefault="00D41CF6" w:rsidP="002F3F9D">
            <w:pPr>
              <w:tabs>
                <w:tab w:val="left" w:pos="2595"/>
              </w:tabs>
              <w:jc w:val="center"/>
              <w:rPr>
                <w:rFonts w:ascii="Times New Roman" w:hAnsi="Times New Roman" w:cs="Times New Roman"/>
                <w:sz w:val="24"/>
                <w:szCs w:val="24"/>
              </w:rPr>
            </w:pPr>
            <w:r w:rsidRPr="00D41CF6">
              <w:rPr>
                <w:rFonts w:ascii="Times New Roman" w:hAnsi="Times New Roman" w:cs="Times New Roman"/>
                <w:sz w:val="24"/>
                <w:szCs w:val="24"/>
              </w:rPr>
              <w:t>56..60</w:t>
            </w:r>
          </w:p>
          <w:p w:rsidR="00D41CF6" w:rsidRPr="00D41CF6" w:rsidRDefault="00D41CF6" w:rsidP="002F3F9D">
            <w:pPr>
              <w:jc w:val="center"/>
              <w:rPr>
                <w:rFonts w:ascii="Times New Roman" w:hAnsi="Times New Roman" w:cs="Times New Roman"/>
                <w:b/>
                <w:sz w:val="24"/>
                <w:szCs w:val="24"/>
              </w:rPr>
            </w:pP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7.</w:t>
            </w:r>
          </w:p>
        </w:tc>
        <w:tc>
          <w:tcPr>
            <w:tcW w:w="3119" w:type="dxa"/>
          </w:tcPr>
          <w:p w:rsidR="00D41CF6" w:rsidRPr="00D41CF6" w:rsidRDefault="00D41CF6" w:rsidP="002F3F9D">
            <w:pPr>
              <w:jc w:val="center"/>
              <w:rPr>
                <w:rFonts w:ascii="Times New Roman" w:hAnsi="Times New Roman" w:cs="Times New Roman"/>
                <w:sz w:val="24"/>
                <w:szCs w:val="24"/>
              </w:rPr>
            </w:pPr>
          </w:p>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Домашние отходы и мусор</w:t>
            </w:r>
          </w:p>
          <w:p w:rsidR="00D41CF6" w:rsidRPr="00D41CF6" w:rsidRDefault="00D41CF6" w:rsidP="002F3F9D">
            <w:pPr>
              <w:jc w:val="center"/>
              <w:rPr>
                <w:rFonts w:ascii="Times New Roman" w:hAnsi="Times New Roman" w:cs="Times New Roman"/>
                <w:b/>
                <w:sz w:val="24"/>
                <w:szCs w:val="24"/>
              </w:rPr>
            </w:pPr>
          </w:p>
        </w:tc>
        <w:tc>
          <w:tcPr>
            <w:tcW w:w="3242"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600</w:t>
            </w:r>
          </w:p>
        </w:tc>
        <w:tc>
          <w:tcPr>
            <w:tcW w:w="2393"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tabs>
                <w:tab w:val="left" w:pos="2595"/>
              </w:tabs>
              <w:jc w:val="center"/>
              <w:rPr>
                <w:rFonts w:ascii="Times New Roman" w:hAnsi="Times New Roman" w:cs="Times New Roman"/>
                <w:sz w:val="24"/>
                <w:szCs w:val="24"/>
              </w:rPr>
            </w:pPr>
            <w:r w:rsidRPr="00D41CF6">
              <w:rPr>
                <w:rFonts w:ascii="Times New Roman" w:hAnsi="Times New Roman" w:cs="Times New Roman"/>
                <w:sz w:val="24"/>
                <w:szCs w:val="24"/>
              </w:rPr>
              <w:t>50</w:t>
            </w:r>
          </w:p>
          <w:p w:rsidR="00D41CF6" w:rsidRPr="00D41CF6" w:rsidRDefault="00D41CF6" w:rsidP="002F3F9D">
            <w:pPr>
              <w:jc w:val="center"/>
              <w:rPr>
                <w:rFonts w:ascii="Times New Roman" w:hAnsi="Times New Roman" w:cs="Times New Roman"/>
                <w:b/>
                <w:sz w:val="24"/>
                <w:szCs w:val="24"/>
              </w:rPr>
            </w:pPr>
          </w:p>
        </w:tc>
      </w:tr>
      <w:tr w:rsidR="00D41CF6" w:rsidRPr="00D41CF6" w:rsidTr="003E771B">
        <w:tc>
          <w:tcPr>
            <w:tcW w:w="817"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8.</w:t>
            </w:r>
          </w:p>
          <w:p w:rsidR="00D41CF6" w:rsidRPr="00D41CF6" w:rsidRDefault="00D41CF6" w:rsidP="002F3F9D">
            <w:pPr>
              <w:jc w:val="center"/>
              <w:rPr>
                <w:rFonts w:ascii="Times New Roman" w:hAnsi="Times New Roman" w:cs="Times New Roman"/>
                <w:b/>
                <w:sz w:val="24"/>
                <w:szCs w:val="24"/>
              </w:rPr>
            </w:pPr>
          </w:p>
        </w:tc>
        <w:tc>
          <w:tcPr>
            <w:tcW w:w="3119" w:type="dxa"/>
          </w:tcPr>
          <w:p w:rsidR="00D41CF6" w:rsidRPr="00D41CF6" w:rsidRDefault="00D41CF6" w:rsidP="002F3F9D">
            <w:pPr>
              <w:rPr>
                <w:rFonts w:ascii="Times New Roman" w:hAnsi="Times New Roman" w:cs="Times New Roman"/>
                <w:sz w:val="24"/>
                <w:szCs w:val="24"/>
              </w:rPr>
            </w:pPr>
          </w:p>
          <w:p w:rsidR="00D41CF6" w:rsidRPr="00D41CF6" w:rsidRDefault="00D41CF6" w:rsidP="002F3F9D">
            <w:pPr>
              <w:rPr>
                <w:rFonts w:ascii="Times New Roman" w:hAnsi="Times New Roman" w:cs="Times New Roman"/>
                <w:sz w:val="24"/>
                <w:szCs w:val="24"/>
              </w:rPr>
            </w:pPr>
            <w:r w:rsidRPr="00D41CF6">
              <w:rPr>
                <w:rFonts w:ascii="Times New Roman" w:hAnsi="Times New Roman" w:cs="Times New Roman"/>
                <w:sz w:val="24"/>
                <w:szCs w:val="24"/>
              </w:rPr>
              <w:t>Фекальные осадки</w:t>
            </w:r>
          </w:p>
        </w:tc>
        <w:tc>
          <w:tcPr>
            <w:tcW w:w="3242" w:type="dxa"/>
          </w:tcPr>
          <w:p w:rsidR="00D41CF6" w:rsidRPr="00D41CF6" w:rsidRDefault="00D41CF6" w:rsidP="002F3F9D">
            <w:pPr>
              <w:jc w:val="center"/>
              <w:rPr>
                <w:rFonts w:ascii="Times New Roman" w:hAnsi="Times New Roman" w:cs="Times New Roman"/>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250..310</w:t>
            </w:r>
          </w:p>
        </w:tc>
        <w:tc>
          <w:tcPr>
            <w:tcW w:w="2393"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60</w:t>
            </w:r>
          </w:p>
        </w:tc>
      </w:tr>
      <w:tr w:rsidR="00D41CF6" w:rsidRPr="00D41CF6" w:rsidTr="002A33AE">
        <w:trPr>
          <w:trHeight w:val="70"/>
        </w:trPr>
        <w:tc>
          <w:tcPr>
            <w:tcW w:w="817"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b/>
                <w:sz w:val="24"/>
                <w:szCs w:val="24"/>
              </w:rPr>
              <w:t>9.</w:t>
            </w:r>
          </w:p>
        </w:tc>
        <w:tc>
          <w:tcPr>
            <w:tcW w:w="3119" w:type="dxa"/>
          </w:tcPr>
          <w:p w:rsidR="00D41CF6" w:rsidRPr="00D41CF6" w:rsidRDefault="00D41CF6" w:rsidP="002F3F9D">
            <w:pPr>
              <w:rPr>
                <w:rFonts w:ascii="Times New Roman" w:hAnsi="Times New Roman" w:cs="Times New Roman"/>
                <w:sz w:val="24"/>
                <w:szCs w:val="24"/>
              </w:rPr>
            </w:pPr>
          </w:p>
          <w:p w:rsidR="00D41CF6" w:rsidRPr="00D41CF6" w:rsidRDefault="00D41CF6" w:rsidP="002F3F9D">
            <w:pPr>
              <w:rPr>
                <w:rFonts w:ascii="Times New Roman" w:hAnsi="Times New Roman" w:cs="Times New Roman"/>
                <w:sz w:val="24"/>
                <w:szCs w:val="24"/>
              </w:rPr>
            </w:pPr>
            <w:r w:rsidRPr="00D41CF6">
              <w:rPr>
                <w:rFonts w:ascii="Times New Roman" w:hAnsi="Times New Roman" w:cs="Times New Roman"/>
                <w:sz w:val="24"/>
                <w:szCs w:val="24"/>
              </w:rPr>
              <w:t>Твердый осадок сточных вод</w:t>
            </w:r>
          </w:p>
        </w:tc>
        <w:tc>
          <w:tcPr>
            <w:tcW w:w="3242" w:type="dxa"/>
          </w:tcPr>
          <w:p w:rsidR="00D41CF6" w:rsidRPr="00D41CF6" w:rsidRDefault="00D41CF6" w:rsidP="002F3F9D">
            <w:pPr>
              <w:jc w:val="center"/>
              <w:rPr>
                <w:rFonts w:ascii="Times New Roman" w:hAnsi="Times New Roman" w:cs="Times New Roman"/>
                <w:sz w:val="24"/>
                <w:szCs w:val="24"/>
              </w:rPr>
            </w:pPr>
          </w:p>
          <w:p w:rsidR="00D41CF6" w:rsidRPr="00D41CF6" w:rsidRDefault="00D41CF6" w:rsidP="002F3F9D">
            <w:pPr>
              <w:jc w:val="center"/>
              <w:rPr>
                <w:rFonts w:ascii="Times New Roman" w:hAnsi="Times New Roman" w:cs="Times New Roman"/>
                <w:sz w:val="24"/>
                <w:szCs w:val="24"/>
              </w:rPr>
            </w:pPr>
            <w:r w:rsidRPr="00D41CF6">
              <w:rPr>
                <w:rFonts w:ascii="Times New Roman" w:hAnsi="Times New Roman" w:cs="Times New Roman"/>
                <w:sz w:val="24"/>
                <w:szCs w:val="24"/>
              </w:rPr>
              <w:t>570</w:t>
            </w:r>
          </w:p>
        </w:tc>
        <w:tc>
          <w:tcPr>
            <w:tcW w:w="2393" w:type="dxa"/>
          </w:tcPr>
          <w:p w:rsidR="00D41CF6" w:rsidRPr="00D41CF6" w:rsidRDefault="00D41CF6" w:rsidP="002F3F9D">
            <w:pPr>
              <w:jc w:val="center"/>
              <w:rPr>
                <w:rFonts w:ascii="Times New Roman" w:hAnsi="Times New Roman" w:cs="Times New Roman"/>
                <w:b/>
                <w:sz w:val="24"/>
                <w:szCs w:val="24"/>
              </w:rPr>
            </w:pPr>
          </w:p>
          <w:p w:rsidR="00D41CF6" w:rsidRPr="00D41CF6" w:rsidRDefault="00D41CF6" w:rsidP="002F3F9D">
            <w:pPr>
              <w:jc w:val="center"/>
              <w:rPr>
                <w:rFonts w:ascii="Times New Roman" w:hAnsi="Times New Roman" w:cs="Times New Roman"/>
                <w:b/>
                <w:sz w:val="24"/>
                <w:szCs w:val="24"/>
              </w:rPr>
            </w:pPr>
            <w:r w:rsidRPr="00D41CF6">
              <w:rPr>
                <w:rFonts w:ascii="Times New Roman" w:hAnsi="Times New Roman" w:cs="Times New Roman"/>
                <w:sz w:val="24"/>
                <w:szCs w:val="24"/>
              </w:rPr>
              <w:t>70</w:t>
            </w:r>
          </w:p>
        </w:tc>
      </w:tr>
    </w:tbl>
    <w:p w:rsidR="00D41CF6" w:rsidRPr="00D41CF6" w:rsidRDefault="00D41CF6" w:rsidP="002F3F9D">
      <w:pPr>
        <w:tabs>
          <w:tab w:val="left" w:pos="1320"/>
        </w:tabs>
        <w:spacing w:line="240" w:lineRule="auto"/>
        <w:jc w:val="center"/>
        <w:rPr>
          <w:rFonts w:ascii="Times New Roman" w:hAnsi="Times New Roman" w:cs="Times New Roman"/>
          <w:b/>
          <w:sz w:val="24"/>
          <w:szCs w:val="24"/>
        </w:rPr>
      </w:pPr>
    </w:p>
    <w:p w:rsidR="00D41CF6" w:rsidRPr="00D41CF6" w:rsidRDefault="00D41CF6" w:rsidP="002F3F9D">
      <w:pPr>
        <w:tabs>
          <w:tab w:val="left" w:pos="1320"/>
        </w:tabs>
        <w:spacing w:line="240" w:lineRule="auto"/>
        <w:jc w:val="center"/>
        <w:rPr>
          <w:rFonts w:ascii="Times New Roman" w:hAnsi="Times New Roman" w:cs="Times New Roman"/>
          <w:b/>
          <w:sz w:val="24"/>
          <w:szCs w:val="24"/>
        </w:rPr>
      </w:pPr>
      <w:r w:rsidRPr="00D41CF6">
        <w:rPr>
          <w:rFonts w:ascii="Times New Roman" w:hAnsi="Times New Roman" w:cs="Times New Roman"/>
          <w:b/>
          <w:sz w:val="24"/>
          <w:szCs w:val="24"/>
        </w:rPr>
        <w:t>Эксплуатация установки</w:t>
      </w:r>
    </w:p>
    <w:p w:rsidR="00D41CF6" w:rsidRPr="00D41CF6" w:rsidRDefault="00D41CF6" w:rsidP="002F3F9D">
      <w:pPr>
        <w:tabs>
          <w:tab w:val="left" w:pos="1320"/>
        </w:tabs>
        <w:spacing w:line="240" w:lineRule="auto"/>
        <w:rPr>
          <w:rFonts w:ascii="Times New Roman" w:hAnsi="Times New Roman" w:cs="Times New Roman"/>
          <w:sz w:val="24"/>
          <w:szCs w:val="24"/>
        </w:rPr>
      </w:pPr>
      <w:r w:rsidRPr="00D41CF6">
        <w:rPr>
          <w:rFonts w:ascii="Times New Roman" w:hAnsi="Times New Roman" w:cs="Times New Roman"/>
          <w:sz w:val="24"/>
          <w:szCs w:val="24"/>
        </w:rPr>
        <w:t xml:space="preserve">      Затраты на эксплуатацию установки мизерны и составляют 1,5-2% от ее стоимости в год. В затраты входит заработная плата персонала, затраты на электроэнергию, плановое обслуживание (замена, масла, фильтров, ремонт лопастей мешалок). (7)</w:t>
      </w:r>
    </w:p>
    <w:p w:rsidR="00D41CF6" w:rsidRPr="00D41CF6" w:rsidRDefault="00D41CF6" w:rsidP="002F3F9D">
      <w:pPr>
        <w:tabs>
          <w:tab w:val="left" w:pos="1320"/>
        </w:tabs>
        <w:spacing w:line="240" w:lineRule="auto"/>
        <w:jc w:val="center"/>
        <w:rPr>
          <w:rFonts w:ascii="Times New Roman" w:hAnsi="Times New Roman" w:cs="Times New Roman"/>
          <w:b/>
          <w:sz w:val="24"/>
          <w:szCs w:val="24"/>
        </w:rPr>
      </w:pPr>
      <w:r w:rsidRPr="00D41CF6">
        <w:rPr>
          <w:rFonts w:ascii="Times New Roman" w:hAnsi="Times New Roman" w:cs="Times New Roman"/>
          <w:b/>
          <w:sz w:val="24"/>
          <w:szCs w:val="24"/>
        </w:rPr>
        <w:t>Финансовые аспекты</w:t>
      </w:r>
    </w:p>
    <w:p w:rsidR="00D41CF6" w:rsidRPr="00D41CF6" w:rsidRDefault="00D41CF6" w:rsidP="002F3F9D">
      <w:pPr>
        <w:tabs>
          <w:tab w:val="left" w:pos="1320"/>
        </w:tabs>
        <w:spacing w:line="240" w:lineRule="auto"/>
        <w:jc w:val="both"/>
        <w:rPr>
          <w:rFonts w:ascii="Times New Roman" w:hAnsi="Times New Roman" w:cs="Times New Roman"/>
          <w:sz w:val="24"/>
          <w:szCs w:val="24"/>
        </w:rPr>
      </w:pPr>
      <w:r w:rsidRPr="00D41CF6">
        <w:rPr>
          <w:rFonts w:ascii="Times New Roman" w:hAnsi="Times New Roman" w:cs="Times New Roman"/>
          <w:sz w:val="24"/>
          <w:szCs w:val="24"/>
        </w:rPr>
        <w:t xml:space="preserve">      Средний срок окупаемости проекта 1,5-2 года. Проект окупается, так Вам не надо больше платить за газ, электроэнергию, теплую воду, удобрения. Стоимость </w:t>
      </w:r>
      <w:proofErr w:type="spellStart"/>
      <w:r w:rsidRPr="00D41CF6">
        <w:rPr>
          <w:rFonts w:ascii="Times New Roman" w:hAnsi="Times New Roman" w:cs="Times New Roman"/>
          <w:sz w:val="24"/>
          <w:szCs w:val="24"/>
        </w:rPr>
        <w:t>биогазовой</w:t>
      </w:r>
      <w:proofErr w:type="spellEnd"/>
      <w:r w:rsidRPr="00D41CF6">
        <w:rPr>
          <w:rFonts w:ascii="Times New Roman" w:hAnsi="Times New Roman" w:cs="Times New Roman"/>
          <w:sz w:val="24"/>
          <w:szCs w:val="24"/>
        </w:rPr>
        <w:t xml:space="preserve"> установки зависит от ее мощности (объема произведенного газа). (7)</w:t>
      </w:r>
    </w:p>
    <w:p w:rsidR="00D41CF6" w:rsidRPr="00D41CF6" w:rsidRDefault="00D41CF6" w:rsidP="002F3F9D">
      <w:pPr>
        <w:tabs>
          <w:tab w:val="left" w:pos="1320"/>
        </w:tabs>
        <w:spacing w:line="240" w:lineRule="auto"/>
        <w:jc w:val="center"/>
        <w:rPr>
          <w:rFonts w:ascii="Times New Roman" w:hAnsi="Times New Roman" w:cs="Times New Roman"/>
          <w:b/>
          <w:sz w:val="24"/>
          <w:szCs w:val="24"/>
        </w:rPr>
      </w:pPr>
      <w:r w:rsidRPr="00D41CF6">
        <w:rPr>
          <w:rFonts w:ascii="Times New Roman" w:hAnsi="Times New Roman" w:cs="Times New Roman"/>
          <w:b/>
          <w:sz w:val="24"/>
          <w:szCs w:val="24"/>
        </w:rPr>
        <w:t>Заключение</w:t>
      </w:r>
    </w:p>
    <w:p w:rsidR="00D41CF6" w:rsidRPr="00D41CF6" w:rsidRDefault="00D41CF6" w:rsidP="002F3F9D">
      <w:pPr>
        <w:spacing w:before="100" w:beforeAutospacing="1" w:after="0" w:line="240" w:lineRule="auto"/>
        <w:jc w:val="both"/>
        <w:rPr>
          <w:rFonts w:ascii="Times New Roman" w:eastAsia="Times New Roman" w:hAnsi="Times New Roman" w:cs="Times New Roman"/>
          <w:sz w:val="24"/>
          <w:szCs w:val="24"/>
        </w:rPr>
      </w:pPr>
      <w:r w:rsidRPr="00D41CF6">
        <w:rPr>
          <w:rFonts w:ascii="Times New Roman" w:eastAsia="Times New Roman" w:hAnsi="Times New Roman" w:cs="Times New Roman"/>
          <w:sz w:val="24"/>
          <w:szCs w:val="24"/>
        </w:rPr>
        <w:t xml:space="preserve">     Применение малой </w:t>
      </w:r>
      <w:proofErr w:type="spellStart"/>
      <w:r w:rsidRPr="00D41CF6">
        <w:rPr>
          <w:rFonts w:ascii="Times New Roman" w:eastAsia="Times New Roman" w:hAnsi="Times New Roman" w:cs="Times New Roman"/>
          <w:sz w:val="24"/>
          <w:szCs w:val="24"/>
        </w:rPr>
        <w:t>биогазовой</w:t>
      </w:r>
      <w:proofErr w:type="spellEnd"/>
      <w:r w:rsidRPr="00D41CF6">
        <w:rPr>
          <w:rFonts w:ascii="Times New Roman" w:eastAsia="Times New Roman" w:hAnsi="Times New Roman" w:cs="Times New Roman"/>
          <w:sz w:val="24"/>
          <w:szCs w:val="24"/>
        </w:rPr>
        <w:t xml:space="preserve"> установки в целях переработки бытовых отходов в альтернативный энергоресурс. Применение малых </w:t>
      </w:r>
      <w:proofErr w:type="spellStart"/>
      <w:r w:rsidRPr="00D41CF6">
        <w:rPr>
          <w:rFonts w:ascii="Times New Roman" w:eastAsia="Times New Roman" w:hAnsi="Times New Roman" w:cs="Times New Roman"/>
          <w:sz w:val="24"/>
          <w:szCs w:val="24"/>
        </w:rPr>
        <w:t>биогазовых</w:t>
      </w:r>
      <w:proofErr w:type="spellEnd"/>
      <w:r w:rsidRPr="00D41CF6">
        <w:rPr>
          <w:rFonts w:ascii="Times New Roman" w:eastAsia="Times New Roman" w:hAnsi="Times New Roman" w:cs="Times New Roman"/>
          <w:sz w:val="24"/>
          <w:szCs w:val="24"/>
        </w:rPr>
        <w:t xml:space="preserve"> установок позволит:</w:t>
      </w:r>
    </w:p>
    <w:p w:rsidR="00D41CF6" w:rsidRPr="00D41CF6" w:rsidRDefault="00D41CF6" w:rsidP="002F3F9D">
      <w:pPr>
        <w:pStyle w:val="a6"/>
        <w:spacing w:before="100" w:beforeAutospacing="1" w:after="0" w:line="240" w:lineRule="auto"/>
        <w:jc w:val="both"/>
        <w:rPr>
          <w:rFonts w:ascii="Times New Roman" w:eastAsia="Times New Roman" w:hAnsi="Times New Roman" w:cs="Times New Roman"/>
          <w:sz w:val="24"/>
          <w:szCs w:val="24"/>
          <w:lang w:eastAsia="ru-RU"/>
        </w:rPr>
      </w:pPr>
      <w:r w:rsidRPr="00D41CF6">
        <w:rPr>
          <w:rFonts w:ascii="Times New Roman" w:eastAsia="Times New Roman" w:hAnsi="Times New Roman" w:cs="Times New Roman"/>
          <w:sz w:val="24"/>
          <w:szCs w:val="24"/>
          <w:lang w:eastAsia="ru-RU"/>
        </w:rPr>
        <w:t>1. значительно улучшить санитарно-эпидемиологическую обстановку в городе Нюрба;</w:t>
      </w:r>
    </w:p>
    <w:p w:rsidR="00D41CF6" w:rsidRPr="00D41CF6" w:rsidRDefault="00D41CF6" w:rsidP="002F3F9D">
      <w:pPr>
        <w:pStyle w:val="a6"/>
        <w:spacing w:before="100" w:beforeAutospacing="1" w:after="0" w:line="240" w:lineRule="auto"/>
        <w:jc w:val="both"/>
        <w:rPr>
          <w:rFonts w:ascii="Times New Roman" w:eastAsia="Times New Roman" w:hAnsi="Times New Roman" w:cs="Times New Roman"/>
          <w:sz w:val="24"/>
          <w:szCs w:val="24"/>
          <w:lang w:eastAsia="ru-RU"/>
        </w:rPr>
      </w:pPr>
      <w:r w:rsidRPr="00D41CF6">
        <w:rPr>
          <w:rFonts w:ascii="Times New Roman" w:eastAsia="Times New Roman" w:hAnsi="Times New Roman" w:cs="Times New Roman"/>
          <w:sz w:val="24"/>
          <w:szCs w:val="24"/>
          <w:lang w:eastAsia="ru-RU"/>
        </w:rPr>
        <w:t>2. значительно снизить загрязнение окружающей среды за счет прекращения засорения территории города и его окрестностей, прекращения процессов разложения, испарения, отстоя вредных веществ;</w:t>
      </w:r>
    </w:p>
    <w:p w:rsidR="00D41CF6" w:rsidRPr="00D41CF6" w:rsidRDefault="00D41CF6" w:rsidP="002F3F9D">
      <w:pPr>
        <w:pStyle w:val="a6"/>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D41CF6">
        <w:rPr>
          <w:rFonts w:ascii="Times New Roman" w:eastAsia="Times New Roman" w:hAnsi="Times New Roman" w:cs="Times New Roman"/>
          <w:sz w:val="24"/>
          <w:szCs w:val="24"/>
          <w:lang w:eastAsia="ru-RU"/>
        </w:rPr>
        <w:t>ликвидировать невосполнимую потерю ценного вторичного сырья за счет их повторного использования;</w:t>
      </w:r>
    </w:p>
    <w:p w:rsidR="00D41CF6" w:rsidRPr="00D41CF6" w:rsidRDefault="00D41CF6" w:rsidP="002F3F9D">
      <w:pPr>
        <w:pStyle w:val="a6"/>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D41CF6">
        <w:rPr>
          <w:rFonts w:ascii="Times New Roman" w:eastAsia="Times New Roman" w:hAnsi="Times New Roman" w:cs="Times New Roman"/>
          <w:sz w:val="24"/>
          <w:szCs w:val="24"/>
          <w:lang w:eastAsia="ru-RU"/>
        </w:rPr>
        <w:t>значительно сократить площади для складирования отходов, организовать дополнительные рабочие места;</w:t>
      </w:r>
    </w:p>
    <w:p w:rsidR="00D41CF6" w:rsidRPr="00D41CF6" w:rsidRDefault="00D41CF6" w:rsidP="002F3F9D">
      <w:pPr>
        <w:pStyle w:val="a6"/>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D41CF6">
        <w:rPr>
          <w:rFonts w:ascii="Times New Roman" w:eastAsia="Times New Roman" w:hAnsi="Times New Roman" w:cs="Times New Roman"/>
          <w:sz w:val="24"/>
          <w:szCs w:val="24"/>
          <w:lang w:eastAsia="ru-RU"/>
        </w:rPr>
        <w:t xml:space="preserve">повысить энергетический потенциал </w:t>
      </w:r>
      <w:proofErr w:type="spellStart"/>
      <w:r w:rsidRPr="00D41CF6">
        <w:rPr>
          <w:rFonts w:ascii="Times New Roman" w:eastAsia="Times New Roman" w:hAnsi="Times New Roman" w:cs="Times New Roman"/>
          <w:sz w:val="24"/>
          <w:szCs w:val="24"/>
          <w:lang w:eastAsia="ru-RU"/>
        </w:rPr>
        <w:t>Нюрбинского</w:t>
      </w:r>
      <w:proofErr w:type="spellEnd"/>
      <w:r w:rsidRPr="00D41CF6">
        <w:rPr>
          <w:rFonts w:ascii="Times New Roman" w:eastAsia="Times New Roman" w:hAnsi="Times New Roman" w:cs="Times New Roman"/>
          <w:sz w:val="24"/>
          <w:szCs w:val="24"/>
          <w:lang w:eastAsia="ru-RU"/>
        </w:rPr>
        <w:t xml:space="preserve"> района за счет использования альтернативных источников энергии;</w:t>
      </w:r>
    </w:p>
    <w:p w:rsidR="00D41CF6" w:rsidRDefault="00D41CF6" w:rsidP="002F3F9D">
      <w:pPr>
        <w:pStyle w:val="a6"/>
        <w:tabs>
          <w:tab w:val="left" w:pos="1170"/>
        </w:tabs>
        <w:spacing w:line="240" w:lineRule="auto"/>
        <w:ind w:left="1080"/>
        <w:rPr>
          <w:rFonts w:ascii="Times New Roman" w:hAnsi="Times New Roman" w:cs="Times New Roman"/>
          <w:b/>
        </w:rPr>
      </w:pPr>
    </w:p>
    <w:p w:rsidR="000F443D" w:rsidRDefault="000F443D" w:rsidP="002F3F9D">
      <w:pPr>
        <w:pStyle w:val="a6"/>
        <w:tabs>
          <w:tab w:val="left" w:pos="1170"/>
        </w:tabs>
        <w:spacing w:line="240" w:lineRule="auto"/>
        <w:ind w:left="1080"/>
        <w:rPr>
          <w:rFonts w:ascii="Times New Roman" w:hAnsi="Times New Roman" w:cs="Times New Roman"/>
          <w:b/>
        </w:rPr>
      </w:pPr>
    </w:p>
    <w:p w:rsidR="000F443D" w:rsidRDefault="000F443D" w:rsidP="002F3F9D">
      <w:pPr>
        <w:pStyle w:val="a6"/>
        <w:tabs>
          <w:tab w:val="left" w:pos="1170"/>
        </w:tabs>
        <w:spacing w:line="240" w:lineRule="auto"/>
        <w:ind w:left="1080"/>
        <w:rPr>
          <w:rFonts w:ascii="Times New Roman" w:hAnsi="Times New Roman" w:cs="Times New Roman"/>
          <w:b/>
        </w:rPr>
      </w:pPr>
    </w:p>
    <w:p w:rsidR="000F443D" w:rsidRDefault="000F443D" w:rsidP="002F3F9D">
      <w:pPr>
        <w:pStyle w:val="a6"/>
        <w:tabs>
          <w:tab w:val="left" w:pos="1170"/>
        </w:tabs>
        <w:spacing w:line="240" w:lineRule="auto"/>
        <w:ind w:left="1080"/>
        <w:rPr>
          <w:rFonts w:ascii="Times New Roman" w:hAnsi="Times New Roman" w:cs="Times New Roman"/>
          <w:b/>
        </w:rPr>
      </w:pPr>
    </w:p>
    <w:p w:rsidR="000F443D" w:rsidRDefault="000F443D" w:rsidP="002F3F9D">
      <w:pPr>
        <w:pStyle w:val="a6"/>
        <w:tabs>
          <w:tab w:val="left" w:pos="1170"/>
        </w:tabs>
        <w:spacing w:line="240" w:lineRule="auto"/>
        <w:ind w:left="1080"/>
        <w:rPr>
          <w:rFonts w:ascii="Times New Roman" w:hAnsi="Times New Roman" w:cs="Times New Roman"/>
          <w:b/>
        </w:rPr>
      </w:pPr>
    </w:p>
    <w:p w:rsidR="00D41CF6" w:rsidRDefault="00D41CF6" w:rsidP="002F3F9D">
      <w:pPr>
        <w:pStyle w:val="a6"/>
        <w:tabs>
          <w:tab w:val="left" w:pos="1170"/>
        </w:tabs>
        <w:spacing w:line="240" w:lineRule="auto"/>
        <w:ind w:left="1080"/>
        <w:rPr>
          <w:rFonts w:ascii="Times New Roman" w:hAnsi="Times New Roman" w:cs="Times New Roman"/>
          <w:b/>
        </w:rPr>
      </w:pPr>
      <w:r w:rsidRPr="00D41CF6">
        <w:rPr>
          <w:rFonts w:ascii="Times New Roman" w:hAnsi="Times New Roman" w:cs="Times New Roman"/>
          <w:b/>
        </w:rPr>
        <w:lastRenderedPageBreak/>
        <w:t>Список использованной литературы и интернет ресурсов:</w:t>
      </w:r>
    </w:p>
    <w:p w:rsidR="00D41CF6" w:rsidRPr="00D41CF6" w:rsidRDefault="00D41CF6" w:rsidP="002F3F9D">
      <w:pPr>
        <w:pStyle w:val="a6"/>
        <w:tabs>
          <w:tab w:val="left" w:pos="1170"/>
        </w:tabs>
        <w:spacing w:line="240" w:lineRule="auto"/>
        <w:ind w:left="1080"/>
        <w:rPr>
          <w:rFonts w:ascii="Times New Roman" w:hAnsi="Times New Roman" w:cs="Times New Roman"/>
          <w:b/>
        </w:rPr>
      </w:pPr>
    </w:p>
    <w:p w:rsidR="00D41CF6" w:rsidRPr="00D41CF6" w:rsidRDefault="00D41CF6" w:rsidP="002F3F9D">
      <w:pPr>
        <w:pStyle w:val="a6"/>
        <w:spacing w:line="240" w:lineRule="auto"/>
        <w:ind w:left="1080"/>
        <w:rPr>
          <w:rFonts w:ascii="Times New Roman" w:hAnsi="Times New Roman" w:cs="Times New Roman"/>
        </w:rPr>
      </w:pPr>
      <w:r w:rsidRPr="00D41CF6">
        <w:rPr>
          <w:rFonts w:ascii="Times New Roman" w:hAnsi="Times New Roman" w:cs="Times New Roman"/>
        </w:rPr>
        <w:t xml:space="preserve">1.В.Баадер, Е. </w:t>
      </w:r>
      <w:proofErr w:type="gramStart"/>
      <w:r w:rsidRPr="00D41CF6">
        <w:rPr>
          <w:rFonts w:ascii="Times New Roman" w:hAnsi="Times New Roman" w:cs="Times New Roman"/>
        </w:rPr>
        <w:t>Доне</w:t>
      </w:r>
      <w:proofErr w:type="gramEnd"/>
      <w:r w:rsidRPr="00D41CF6">
        <w:rPr>
          <w:rFonts w:ascii="Times New Roman" w:hAnsi="Times New Roman" w:cs="Times New Roman"/>
        </w:rPr>
        <w:t xml:space="preserve">, </w:t>
      </w:r>
      <w:proofErr w:type="spellStart"/>
      <w:r w:rsidRPr="00D41CF6">
        <w:rPr>
          <w:rFonts w:ascii="Times New Roman" w:hAnsi="Times New Roman" w:cs="Times New Roman"/>
        </w:rPr>
        <w:t>М.Бренндерфер</w:t>
      </w:r>
      <w:proofErr w:type="spellEnd"/>
      <w:r w:rsidRPr="00D41CF6">
        <w:rPr>
          <w:rFonts w:ascii="Times New Roman" w:hAnsi="Times New Roman" w:cs="Times New Roman"/>
        </w:rPr>
        <w:t xml:space="preserve"> </w:t>
      </w:r>
      <w:proofErr w:type="spellStart"/>
      <w:r w:rsidRPr="00D41CF6">
        <w:rPr>
          <w:rFonts w:ascii="Times New Roman" w:hAnsi="Times New Roman" w:cs="Times New Roman"/>
        </w:rPr>
        <w:t>Биогаз</w:t>
      </w:r>
      <w:proofErr w:type="spellEnd"/>
      <w:r w:rsidRPr="00D41CF6">
        <w:rPr>
          <w:rFonts w:ascii="Times New Roman" w:hAnsi="Times New Roman" w:cs="Times New Roman"/>
        </w:rPr>
        <w:t>. Теория и практика.</w:t>
      </w:r>
    </w:p>
    <w:p w:rsidR="00D41CF6" w:rsidRPr="00D41CF6" w:rsidRDefault="00D41CF6" w:rsidP="002F3F9D">
      <w:pPr>
        <w:pStyle w:val="a6"/>
        <w:spacing w:line="240" w:lineRule="auto"/>
        <w:ind w:left="1080"/>
        <w:rPr>
          <w:rFonts w:ascii="Times New Roman" w:hAnsi="Times New Roman" w:cs="Times New Roman"/>
        </w:rPr>
      </w:pPr>
      <w:r w:rsidRPr="00D41CF6">
        <w:rPr>
          <w:rFonts w:ascii="Times New Roman" w:hAnsi="Times New Roman" w:cs="Times New Roman"/>
        </w:rPr>
        <w:t xml:space="preserve">2.Barbara </w:t>
      </w:r>
      <w:proofErr w:type="spellStart"/>
      <w:r w:rsidRPr="00D41CF6">
        <w:rPr>
          <w:rFonts w:ascii="Times New Roman" w:hAnsi="Times New Roman" w:cs="Times New Roman"/>
        </w:rPr>
        <w:t>Eder</w:t>
      </w:r>
      <w:proofErr w:type="spellEnd"/>
      <w:r w:rsidRPr="00D41CF6">
        <w:rPr>
          <w:rFonts w:ascii="Times New Roman" w:hAnsi="Times New Roman" w:cs="Times New Roman"/>
        </w:rPr>
        <w:t xml:space="preserve">. </w:t>
      </w:r>
      <w:proofErr w:type="spellStart"/>
      <w:r w:rsidRPr="00D41CF6">
        <w:rPr>
          <w:rFonts w:ascii="Times New Roman" w:hAnsi="Times New Roman" w:cs="Times New Roman"/>
        </w:rPr>
        <w:t>Heinz</w:t>
      </w:r>
      <w:proofErr w:type="spellEnd"/>
      <w:r w:rsidRPr="00D41CF6">
        <w:rPr>
          <w:rFonts w:ascii="Times New Roman" w:hAnsi="Times New Roman" w:cs="Times New Roman"/>
        </w:rPr>
        <w:t xml:space="preserve"> </w:t>
      </w:r>
      <w:proofErr w:type="spellStart"/>
      <w:r w:rsidRPr="00D41CF6">
        <w:rPr>
          <w:rFonts w:ascii="Times New Roman" w:hAnsi="Times New Roman" w:cs="Times New Roman"/>
        </w:rPr>
        <w:t>Schulz</w:t>
      </w:r>
      <w:proofErr w:type="spellEnd"/>
      <w:r w:rsidRPr="00D41CF6">
        <w:rPr>
          <w:rFonts w:ascii="Times New Roman" w:hAnsi="Times New Roman" w:cs="Times New Roman"/>
        </w:rPr>
        <w:t xml:space="preserve">. 1996. Перевод </w:t>
      </w:r>
      <w:proofErr w:type="gramStart"/>
      <w:r w:rsidRPr="00D41CF6">
        <w:rPr>
          <w:rFonts w:ascii="Times New Roman" w:hAnsi="Times New Roman" w:cs="Times New Roman"/>
        </w:rPr>
        <w:t>на</w:t>
      </w:r>
      <w:proofErr w:type="gramEnd"/>
      <w:r w:rsidRPr="00D41CF6">
        <w:rPr>
          <w:rFonts w:ascii="Times New Roman" w:hAnsi="Times New Roman" w:cs="Times New Roman"/>
        </w:rPr>
        <w:t xml:space="preserve"> рус. </w:t>
      </w:r>
      <w:proofErr w:type="spellStart"/>
      <w:r w:rsidRPr="00D41CF6">
        <w:rPr>
          <w:rFonts w:ascii="Times New Roman" w:hAnsi="Times New Roman" w:cs="Times New Roman"/>
        </w:rPr>
        <w:t>Биогазовые</w:t>
      </w:r>
      <w:proofErr w:type="spellEnd"/>
      <w:r w:rsidRPr="00D41CF6">
        <w:rPr>
          <w:rFonts w:ascii="Times New Roman" w:hAnsi="Times New Roman" w:cs="Times New Roman"/>
        </w:rPr>
        <w:t xml:space="preserve"> установки. Практическое пособие.</w:t>
      </w:r>
    </w:p>
    <w:p w:rsidR="00D41CF6" w:rsidRPr="00D41CF6" w:rsidRDefault="00D41CF6" w:rsidP="002F3F9D">
      <w:pPr>
        <w:pStyle w:val="a6"/>
        <w:spacing w:line="240" w:lineRule="auto"/>
        <w:ind w:left="1080"/>
        <w:rPr>
          <w:rFonts w:ascii="Times New Roman" w:hAnsi="Times New Roman" w:cs="Times New Roman"/>
        </w:rPr>
      </w:pPr>
      <w:r w:rsidRPr="00D41CF6">
        <w:rPr>
          <w:rFonts w:ascii="Times New Roman" w:hAnsi="Times New Roman" w:cs="Times New Roman"/>
        </w:rPr>
        <w:t xml:space="preserve">3. http://transgaz-holding.ru/biogazovaya_ustanovka_na </w:t>
      </w:r>
    </w:p>
    <w:p w:rsidR="00D41CF6" w:rsidRPr="00D41CF6" w:rsidRDefault="00D41CF6" w:rsidP="002F3F9D">
      <w:pPr>
        <w:pStyle w:val="a6"/>
        <w:tabs>
          <w:tab w:val="left" w:pos="1170"/>
        </w:tabs>
        <w:spacing w:line="240" w:lineRule="auto"/>
        <w:ind w:left="1080"/>
        <w:rPr>
          <w:rFonts w:ascii="Times New Roman" w:hAnsi="Times New Roman" w:cs="Times New Roman"/>
        </w:rPr>
      </w:pPr>
      <w:r w:rsidRPr="00D41CF6">
        <w:rPr>
          <w:rFonts w:ascii="Times New Roman" w:hAnsi="Times New Roman" w:cs="Times New Roman"/>
        </w:rPr>
        <w:t xml:space="preserve">4.  </w:t>
      </w:r>
      <w:hyperlink r:id="rId10" w:history="1">
        <w:r w:rsidRPr="00D41CF6">
          <w:rPr>
            <w:rStyle w:val="a7"/>
            <w:rFonts w:ascii="Times New Roman" w:hAnsi="Times New Roman" w:cs="Times New Roman"/>
          </w:rPr>
          <w:t>www.auditenergy.ru</w:t>
        </w:r>
      </w:hyperlink>
    </w:p>
    <w:p w:rsidR="00D41CF6" w:rsidRPr="00D41CF6" w:rsidRDefault="00D41CF6" w:rsidP="002F3F9D">
      <w:pPr>
        <w:pStyle w:val="a6"/>
        <w:tabs>
          <w:tab w:val="left" w:pos="1170"/>
        </w:tabs>
        <w:spacing w:line="240" w:lineRule="auto"/>
        <w:ind w:left="1080"/>
        <w:rPr>
          <w:rFonts w:ascii="Times New Roman" w:hAnsi="Times New Roman" w:cs="Times New Roman"/>
        </w:rPr>
      </w:pPr>
      <w:r w:rsidRPr="00D41CF6">
        <w:rPr>
          <w:rFonts w:ascii="Times New Roman" w:hAnsi="Times New Roman" w:cs="Times New Roman"/>
        </w:rPr>
        <w:t xml:space="preserve">5. ГОСТ </w:t>
      </w:r>
      <w:proofErr w:type="gramStart"/>
      <w:r w:rsidRPr="00D41CF6">
        <w:rPr>
          <w:rFonts w:ascii="Times New Roman" w:hAnsi="Times New Roman" w:cs="Times New Roman"/>
        </w:rPr>
        <w:t>Р</w:t>
      </w:r>
      <w:proofErr w:type="gramEnd"/>
      <w:r w:rsidRPr="00D41CF6">
        <w:rPr>
          <w:rFonts w:ascii="Times New Roman" w:hAnsi="Times New Roman" w:cs="Times New Roman"/>
        </w:rPr>
        <w:t xml:space="preserve"> 52808-2007 «Нетрадиционные технологии. Энергетика </w:t>
      </w:r>
      <w:proofErr w:type="spellStart"/>
      <w:r w:rsidRPr="00D41CF6">
        <w:rPr>
          <w:rFonts w:ascii="Times New Roman" w:hAnsi="Times New Roman" w:cs="Times New Roman"/>
        </w:rPr>
        <w:t>биоотходов</w:t>
      </w:r>
      <w:proofErr w:type="spellEnd"/>
      <w:r w:rsidRPr="00D41CF6">
        <w:rPr>
          <w:rFonts w:ascii="Times New Roman" w:hAnsi="Times New Roman" w:cs="Times New Roman"/>
        </w:rPr>
        <w:t>. Термины и определения».</w:t>
      </w:r>
    </w:p>
    <w:p w:rsidR="00D41CF6" w:rsidRPr="00D41CF6" w:rsidRDefault="00D41CF6" w:rsidP="002F3F9D">
      <w:pPr>
        <w:pStyle w:val="a6"/>
        <w:tabs>
          <w:tab w:val="left" w:pos="1170"/>
        </w:tabs>
        <w:spacing w:line="240" w:lineRule="auto"/>
        <w:ind w:left="1080"/>
        <w:rPr>
          <w:rFonts w:ascii="Times New Roman" w:hAnsi="Times New Roman" w:cs="Times New Roman"/>
        </w:rPr>
      </w:pPr>
      <w:r w:rsidRPr="00D41CF6">
        <w:rPr>
          <w:rFonts w:ascii="Times New Roman" w:hAnsi="Times New Roman" w:cs="Times New Roman"/>
        </w:rPr>
        <w:t xml:space="preserve">6. </w:t>
      </w:r>
      <w:r w:rsidRPr="00D41CF6">
        <w:rPr>
          <w:rFonts w:ascii="Times New Roman" w:hAnsi="Times New Roman" w:cs="Times New Roman"/>
          <w:lang w:val="en-US"/>
        </w:rPr>
        <w:t>biogas</w:t>
      </w:r>
      <w:r w:rsidRPr="00D41CF6">
        <w:rPr>
          <w:rFonts w:ascii="Times New Roman" w:hAnsi="Times New Roman" w:cs="Times New Roman"/>
        </w:rPr>
        <w:t>.</w:t>
      </w:r>
      <w:proofErr w:type="spellStart"/>
      <w:r w:rsidRPr="00D41CF6">
        <w:rPr>
          <w:rFonts w:ascii="Times New Roman" w:hAnsi="Times New Roman" w:cs="Times New Roman"/>
          <w:lang w:val="en-US"/>
        </w:rPr>
        <w:t>vn</w:t>
      </w:r>
      <w:proofErr w:type="spellEnd"/>
      <w:r w:rsidRPr="00D41CF6">
        <w:rPr>
          <w:rFonts w:ascii="Times New Roman" w:hAnsi="Times New Roman" w:cs="Times New Roman"/>
        </w:rPr>
        <w:t>.</w:t>
      </w:r>
      <w:proofErr w:type="spellStart"/>
      <w:r w:rsidRPr="00D41CF6">
        <w:rPr>
          <w:rFonts w:ascii="Times New Roman" w:hAnsi="Times New Roman" w:cs="Times New Roman"/>
          <w:lang w:val="en-US"/>
        </w:rPr>
        <w:t>ua</w:t>
      </w:r>
      <w:proofErr w:type="spellEnd"/>
      <w:r w:rsidRPr="00D41CF6">
        <w:rPr>
          <w:rFonts w:ascii="Times New Roman" w:hAnsi="Times New Roman" w:cs="Times New Roman"/>
        </w:rPr>
        <w:t>›41.</w:t>
      </w:r>
      <w:r w:rsidRPr="00D41CF6">
        <w:rPr>
          <w:rFonts w:ascii="Times New Roman" w:hAnsi="Times New Roman" w:cs="Times New Roman"/>
          <w:lang w:val="en-US"/>
        </w:rPr>
        <w:t>html</w:t>
      </w:r>
    </w:p>
    <w:p w:rsidR="00D41CF6" w:rsidRPr="00D41CF6" w:rsidRDefault="00D41CF6" w:rsidP="002F3F9D">
      <w:pPr>
        <w:pStyle w:val="a6"/>
        <w:tabs>
          <w:tab w:val="left" w:pos="1170"/>
        </w:tabs>
        <w:spacing w:line="240" w:lineRule="auto"/>
        <w:ind w:left="1080"/>
        <w:rPr>
          <w:rFonts w:ascii="Times New Roman" w:hAnsi="Times New Roman" w:cs="Times New Roman"/>
        </w:rPr>
      </w:pPr>
      <w:r w:rsidRPr="00D41CF6">
        <w:rPr>
          <w:rFonts w:ascii="Times New Roman" w:hAnsi="Times New Roman" w:cs="Times New Roman"/>
        </w:rPr>
        <w:t xml:space="preserve">7. </w:t>
      </w:r>
      <w:r w:rsidRPr="00D41CF6">
        <w:rPr>
          <w:rFonts w:ascii="Times New Roman" w:hAnsi="Times New Roman" w:cs="Times New Roman"/>
          <w:lang w:val="en-US"/>
        </w:rPr>
        <w:t>biogas</w:t>
      </w:r>
      <w:r w:rsidRPr="00D41CF6">
        <w:rPr>
          <w:rFonts w:ascii="Times New Roman" w:hAnsi="Times New Roman" w:cs="Times New Roman"/>
        </w:rPr>
        <w:t>.</w:t>
      </w:r>
      <w:r w:rsidRPr="00D41CF6">
        <w:rPr>
          <w:rFonts w:ascii="Times New Roman" w:hAnsi="Times New Roman" w:cs="Times New Roman"/>
          <w:lang w:val="en-US"/>
        </w:rPr>
        <w:t>in</w:t>
      </w:r>
      <w:r w:rsidRPr="00D41CF6">
        <w:rPr>
          <w:rFonts w:ascii="Times New Roman" w:hAnsi="Times New Roman" w:cs="Times New Roman"/>
        </w:rPr>
        <w:t>.</w:t>
      </w:r>
      <w:proofErr w:type="spellStart"/>
      <w:r w:rsidRPr="00D41CF6">
        <w:rPr>
          <w:rFonts w:ascii="Times New Roman" w:hAnsi="Times New Roman" w:cs="Times New Roman"/>
          <w:lang w:val="en-US"/>
        </w:rPr>
        <w:t>ua</w:t>
      </w:r>
      <w:proofErr w:type="spellEnd"/>
    </w:p>
    <w:p w:rsidR="00D41CF6" w:rsidRPr="002A33AE" w:rsidRDefault="00D41CF6" w:rsidP="002F3F9D">
      <w:pPr>
        <w:pStyle w:val="a6"/>
        <w:tabs>
          <w:tab w:val="left" w:pos="1170"/>
        </w:tabs>
        <w:spacing w:line="240" w:lineRule="auto"/>
        <w:ind w:left="1080"/>
        <w:rPr>
          <w:rFonts w:ascii="Times New Roman" w:hAnsi="Times New Roman" w:cs="Times New Roman"/>
        </w:rPr>
      </w:pPr>
      <w:r w:rsidRPr="002A33AE">
        <w:rPr>
          <w:rFonts w:ascii="Times New Roman" w:hAnsi="Times New Roman" w:cs="Times New Roman"/>
        </w:rPr>
        <w:t xml:space="preserve">8. </w:t>
      </w:r>
      <w:proofErr w:type="spellStart"/>
      <w:r w:rsidRPr="00D41CF6">
        <w:rPr>
          <w:rFonts w:ascii="Times New Roman" w:hAnsi="Times New Roman" w:cs="Times New Roman"/>
          <w:lang w:val="en-US"/>
        </w:rPr>
        <w:t>transgaz</w:t>
      </w:r>
      <w:proofErr w:type="spellEnd"/>
      <w:r w:rsidRPr="002A33AE">
        <w:rPr>
          <w:rFonts w:ascii="Times New Roman" w:hAnsi="Times New Roman" w:cs="Times New Roman"/>
        </w:rPr>
        <w:t>-</w:t>
      </w:r>
      <w:r w:rsidRPr="00D41CF6">
        <w:rPr>
          <w:rFonts w:ascii="Times New Roman" w:hAnsi="Times New Roman" w:cs="Times New Roman"/>
          <w:lang w:val="en-US"/>
        </w:rPr>
        <w:t>holding</w:t>
      </w:r>
      <w:r w:rsidRPr="002A33AE">
        <w:rPr>
          <w:rFonts w:ascii="Times New Roman" w:hAnsi="Times New Roman" w:cs="Times New Roman"/>
        </w:rPr>
        <w:t>.</w:t>
      </w:r>
      <w:proofErr w:type="spellStart"/>
      <w:r w:rsidRPr="00D41CF6">
        <w:rPr>
          <w:rFonts w:ascii="Times New Roman" w:hAnsi="Times New Roman" w:cs="Times New Roman"/>
          <w:lang w:val="en-US"/>
        </w:rPr>
        <w:t>ru</w:t>
      </w:r>
      <w:proofErr w:type="spellEnd"/>
      <w:r w:rsidRPr="002A33AE">
        <w:rPr>
          <w:rFonts w:ascii="Times New Roman" w:hAnsi="Times New Roman" w:cs="Times New Roman"/>
        </w:rPr>
        <w:t>›</w:t>
      </w:r>
      <w:proofErr w:type="spellStart"/>
      <w:r w:rsidRPr="00D41CF6">
        <w:rPr>
          <w:rFonts w:ascii="Times New Roman" w:hAnsi="Times New Roman" w:cs="Times New Roman"/>
          <w:lang w:val="en-US"/>
        </w:rPr>
        <w:t>biogazovaya</w:t>
      </w:r>
      <w:proofErr w:type="spellEnd"/>
      <w:r w:rsidRPr="002A33AE">
        <w:rPr>
          <w:rFonts w:ascii="Times New Roman" w:hAnsi="Times New Roman" w:cs="Times New Roman"/>
        </w:rPr>
        <w:t>_</w:t>
      </w:r>
      <w:proofErr w:type="spellStart"/>
      <w:r w:rsidRPr="00D41CF6">
        <w:rPr>
          <w:rFonts w:ascii="Times New Roman" w:hAnsi="Times New Roman" w:cs="Times New Roman"/>
          <w:lang w:val="en-US"/>
        </w:rPr>
        <w:t>ustanovka</w:t>
      </w:r>
      <w:proofErr w:type="spellEnd"/>
      <w:r w:rsidRPr="002A33AE">
        <w:rPr>
          <w:rFonts w:ascii="Times New Roman" w:hAnsi="Times New Roman" w:cs="Times New Roman"/>
        </w:rPr>
        <w:t>_</w:t>
      </w:r>
      <w:proofErr w:type="spellStart"/>
      <w:r w:rsidRPr="00D41CF6">
        <w:rPr>
          <w:rFonts w:ascii="Times New Roman" w:hAnsi="Times New Roman" w:cs="Times New Roman"/>
          <w:lang w:val="en-US"/>
        </w:rPr>
        <w:t>na</w:t>
      </w:r>
      <w:proofErr w:type="spellEnd"/>
    </w:p>
    <w:p w:rsidR="00D41CF6" w:rsidRPr="00D41CF6" w:rsidRDefault="00D41CF6" w:rsidP="002F3F9D">
      <w:pPr>
        <w:pStyle w:val="a6"/>
        <w:tabs>
          <w:tab w:val="left" w:pos="1170"/>
        </w:tabs>
        <w:spacing w:line="240" w:lineRule="auto"/>
        <w:ind w:left="1080"/>
        <w:rPr>
          <w:rFonts w:ascii="Times New Roman" w:hAnsi="Times New Roman" w:cs="Times New Roman"/>
          <w:lang w:val="en-US"/>
        </w:rPr>
      </w:pPr>
      <w:r w:rsidRPr="00D41CF6">
        <w:rPr>
          <w:rFonts w:ascii="Times New Roman" w:hAnsi="Times New Roman" w:cs="Times New Roman"/>
          <w:lang w:val="en-US"/>
        </w:rPr>
        <w:t xml:space="preserve">9. </w:t>
      </w:r>
      <w:proofErr w:type="spellStart"/>
      <w:r w:rsidRPr="00D41CF6">
        <w:rPr>
          <w:rFonts w:ascii="Times New Roman" w:hAnsi="Times New Roman" w:cs="Times New Roman"/>
          <w:lang w:val="en-US"/>
        </w:rPr>
        <w:t>ru.wikipedia.org›wiki</w:t>
      </w:r>
      <w:proofErr w:type="spellEnd"/>
      <w:r w:rsidRPr="00D41CF6">
        <w:rPr>
          <w:rFonts w:ascii="Times New Roman" w:hAnsi="Times New Roman" w:cs="Times New Roman"/>
          <w:lang w:val="en-US"/>
        </w:rPr>
        <w:t>/</w:t>
      </w:r>
      <w:proofErr w:type="spellStart"/>
      <w:r w:rsidRPr="00D41CF6">
        <w:rPr>
          <w:rFonts w:ascii="Times New Roman" w:hAnsi="Times New Roman" w:cs="Times New Roman"/>
          <w:lang w:val="en-US"/>
        </w:rPr>
        <w:t>Биогаз</w:t>
      </w:r>
      <w:proofErr w:type="spellEnd"/>
    </w:p>
    <w:p w:rsidR="00D41CF6" w:rsidRPr="00D41CF6" w:rsidRDefault="00D41CF6" w:rsidP="002F3F9D">
      <w:pPr>
        <w:pStyle w:val="a6"/>
        <w:tabs>
          <w:tab w:val="left" w:pos="1170"/>
        </w:tabs>
        <w:spacing w:line="240" w:lineRule="auto"/>
        <w:ind w:left="1080"/>
        <w:rPr>
          <w:rFonts w:ascii="Times New Roman" w:hAnsi="Times New Roman" w:cs="Times New Roman"/>
          <w:lang w:val="en-US"/>
        </w:rPr>
      </w:pPr>
      <w:r w:rsidRPr="00D41CF6">
        <w:rPr>
          <w:rFonts w:ascii="Times New Roman" w:hAnsi="Times New Roman" w:cs="Times New Roman"/>
          <w:lang w:val="en-US"/>
        </w:rPr>
        <w:t xml:space="preserve">10. </w:t>
      </w:r>
      <w:proofErr w:type="spellStart"/>
      <w:proofErr w:type="gramStart"/>
      <w:r w:rsidRPr="00D41CF6">
        <w:rPr>
          <w:rFonts w:ascii="Times New Roman" w:hAnsi="Times New Roman" w:cs="Times New Roman"/>
          <w:lang w:val="en-US"/>
        </w:rPr>
        <w:t>agrobiogaz.ru›smallUnits.php</w:t>
      </w:r>
      <w:proofErr w:type="spellEnd"/>
      <w:proofErr w:type="gramEnd"/>
    </w:p>
    <w:p w:rsidR="00D41CF6" w:rsidRPr="00D41CF6" w:rsidRDefault="00D41CF6" w:rsidP="002F3F9D">
      <w:pPr>
        <w:pStyle w:val="a6"/>
        <w:tabs>
          <w:tab w:val="left" w:pos="1170"/>
        </w:tabs>
        <w:spacing w:line="240" w:lineRule="auto"/>
        <w:ind w:left="1080"/>
        <w:rPr>
          <w:rFonts w:ascii="Times New Roman" w:hAnsi="Times New Roman" w:cs="Times New Roman"/>
          <w:lang w:val="en-US"/>
        </w:rPr>
      </w:pPr>
      <w:r w:rsidRPr="00D41CF6">
        <w:rPr>
          <w:rFonts w:ascii="Times New Roman" w:hAnsi="Times New Roman" w:cs="Times New Roman"/>
          <w:lang w:val="en-US"/>
        </w:rPr>
        <w:t xml:space="preserve">11. </w:t>
      </w:r>
      <w:proofErr w:type="gramStart"/>
      <w:r w:rsidRPr="00D41CF6">
        <w:rPr>
          <w:rFonts w:ascii="Times New Roman" w:hAnsi="Times New Roman" w:cs="Times New Roman"/>
          <w:lang w:val="en-US"/>
        </w:rPr>
        <w:t>zorgbiogas.ru</w:t>
      </w:r>
      <w:proofErr w:type="gramEnd"/>
    </w:p>
    <w:p w:rsidR="00D41CF6" w:rsidRPr="00D41CF6" w:rsidRDefault="00D41CF6" w:rsidP="002F3F9D">
      <w:pPr>
        <w:pStyle w:val="a6"/>
        <w:tabs>
          <w:tab w:val="left" w:pos="1170"/>
        </w:tabs>
        <w:spacing w:line="240" w:lineRule="auto"/>
        <w:ind w:left="1080"/>
        <w:rPr>
          <w:rFonts w:ascii="Times New Roman" w:hAnsi="Times New Roman" w:cs="Times New Roman"/>
          <w:lang w:val="en-US"/>
        </w:rPr>
      </w:pPr>
      <w:r w:rsidRPr="00D41CF6">
        <w:rPr>
          <w:rFonts w:ascii="Times New Roman" w:hAnsi="Times New Roman" w:cs="Times New Roman"/>
          <w:lang w:val="en-US"/>
        </w:rPr>
        <w:t xml:space="preserve">12. </w:t>
      </w:r>
      <w:proofErr w:type="spellStart"/>
      <w:r w:rsidRPr="00D41CF6">
        <w:rPr>
          <w:rFonts w:ascii="Times New Roman" w:hAnsi="Times New Roman" w:cs="Times New Roman"/>
          <w:lang w:val="en-US"/>
        </w:rPr>
        <w:t>krasikc-apk.ru›stats</w:t>
      </w:r>
      <w:proofErr w:type="spellEnd"/>
      <w:r w:rsidRPr="00D41CF6">
        <w:rPr>
          <w:rFonts w:ascii="Times New Roman" w:hAnsi="Times New Roman" w:cs="Times New Roman"/>
          <w:lang w:val="en-US"/>
        </w:rPr>
        <w:t>/all/all/1/88/</w:t>
      </w:r>
    </w:p>
    <w:p w:rsidR="00D41CF6" w:rsidRPr="00D41CF6" w:rsidRDefault="00D41CF6" w:rsidP="002F3F9D">
      <w:pPr>
        <w:pStyle w:val="a6"/>
        <w:tabs>
          <w:tab w:val="left" w:pos="1170"/>
        </w:tabs>
        <w:spacing w:line="240" w:lineRule="auto"/>
        <w:ind w:left="1080"/>
        <w:rPr>
          <w:rFonts w:ascii="Times New Roman" w:hAnsi="Times New Roman" w:cs="Times New Roman"/>
          <w:lang w:val="en-US"/>
        </w:rPr>
      </w:pPr>
      <w:r w:rsidRPr="00D41CF6">
        <w:rPr>
          <w:rFonts w:ascii="Times New Roman" w:hAnsi="Times New Roman" w:cs="Times New Roman"/>
          <w:lang w:val="en-US"/>
        </w:rPr>
        <w:t xml:space="preserve">13. </w:t>
      </w:r>
      <w:proofErr w:type="spellStart"/>
      <w:r w:rsidRPr="00D41CF6">
        <w:rPr>
          <w:rFonts w:ascii="Times New Roman" w:hAnsi="Times New Roman" w:cs="Times New Roman"/>
          <w:lang w:val="en-US"/>
        </w:rPr>
        <w:t>mcx-consult.ru›bolshoy_potencial_malo</w:t>
      </w:r>
      <w:proofErr w:type="spellEnd"/>
    </w:p>
    <w:p w:rsidR="00D41CF6" w:rsidRPr="00D41CF6" w:rsidRDefault="00D41CF6" w:rsidP="002F3F9D">
      <w:pPr>
        <w:pStyle w:val="a6"/>
        <w:tabs>
          <w:tab w:val="left" w:pos="1170"/>
        </w:tabs>
        <w:spacing w:line="240" w:lineRule="auto"/>
        <w:ind w:left="1080"/>
        <w:rPr>
          <w:rFonts w:ascii="Times New Roman" w:hAnsi="Times New Roman" w:cs="Times New Roman"/>
          <w:lang w:val="en-US"/>
        </w:rPr>
      </w:pPr>
      <w:r w:rsidRPr="00D41CF6">
        <w:rPr>
          <w:rFonts w:ascii="Times New Roman" w:hAnsi="Times New Roman" w:cs="Times New Roman"/>
          <w:lang w:val="en-US"/>
        </w:rPr>
        <w:t>14</w:t>
      </w:r>
      <w:proofErr w:type="gramStart"/>
      <w:r w:rsidRPr="00D41CF6">
        <w:rPr>
          <w:rFonts w:ascii="Times New Roman" w:hAnsi="Times New Roman" w:cs="Times New Roman"/>
          <w:lang w:val="en-US"/>
        </w:rPr>
        <w:t>.ecotoc.ru</w:t>
      </w:r>
      <w:proofErr w:type="gramEnd"/>
      <w:r w:rsidRPr="00D41CF6">
        <w:rPr>
          <w:rFonts w:ascii="Times New Roman" w:hAnsi="Times New Roman" w:cs="Times New Roman"/>
          <w:lang w:val="en-US"/>
        </w:rPr>
        <w:t>›biogas/</w:t>
      </w:r>
      <w:proofErr w:type="spellStart"/>
      <w:r w:rsidRPr="00D41CF6">
        <w:rPr>
          <w:rFonts w:ascii="Times New Roman" w:hAnsi="Times New Roman" w:cs="Times New Roman"/>
          <w:lang w:val="en-US"/>
        </w:rPr>
        <w:t>biogas_plants</w:t>
      </w:r>
      <w:proofErr w:type="spellEnd"/>
      <w:r w:rsidRPr="00D41CF6">
        <w:rPr>
          <w:rFonts w:ascii="Times New Roman" w:hAnsi="Times New Roman" w:cs="Times New Roman"/>
          <w:lang w:val="en-US"/>
        </w:rPr>
        <w:t>/d766/</w:t>
      </w:r>
    </w:p>
    <w:p w:rsidR="00D41CF6" w:rsidRPr="00D41CF6" w:rsidRDefault="00D41CF6" w:rsidP="002F3F9D">
      <w:pPr>
        <w:pStyle w:val="a6"/>
        <w:tabs>
          <w:tab w:val="left" w:pos="1170"/>
        </w:tabs>
        <w:spacing w:line="240" w:lineRule="auto"/>
        <w:ind w:left="1080"/>
        <w:rPr>
          <w:rFonts w:ascii="Times New Roman" w:hAnsi="Times New Roman" w:cs="Times New Roman"/>
        </w:rPr>
      </w:pPr>
      <w:r w:rsidRPr="00D41CF6">
        <w:rPr>
          <w:rFonts w:ascii="Times New Roman" w:hAnsi="Times New Roman" w:cs="Times New Roman"/>
        </w:rPr>
        <w:t>15.</w:t>
      </w:r>
      <w:proofErr w:type="spellStart"/>
      <w:r w:rsidRPr="00D41CF6">
        <w:rPr>
          <w:rFonts w:ascii="Times New Roman" w:hAnsi="Times New Roman" w:cs="Times New Roman"/>
          <w:lang w:val="en-US"/>
        </w:rPr>
        <w:t>freeseller</w:t>
      </w:r>
      <w:proofErr w:type="spellEnd"/>
      <w:r w:rsidRPr="00D41CF6">
        <w:rPr>
          <w:rFonts w:ascii="Times New Roman" w:hAnsi="Times New Roman" w:cs="Times New Roman"/>
        </w:rPr>
        <w:t>.</w:t>
      </w:r>
      <w:proofErr w:type="spellStart"/>
      <w:r w:rsidRPr="00D41CF6">
        <w:rPr>
          <w:rFonts w:ascii="Times New Roman" w:hAnsi="Times New Roman" w:cs="Times New Roman"/>
          <w:lang w:val="en-US"/>
        </w:rPr>
        <w:t>ru</w:t>
      </w:r>
      <w:proofErr w:type="spellEnd"/>
      <w:r w:rsidRPr="00D41CF6">
        <w:rPr>
          <w:rFonts w:ascii="Times New Roman" w:hAnsi="Times New Roman" w:cs="Times New Roman"/>
        </w:rPr>
        <w:t>›Коммуникации для дома›</w:t>
      </w:r>
      <w:proofErr w:type="spellStart"/>
      <w:r w:rsidRPr="00D41CF6">
        <w:rPr>
          <w:rFonts w:ascii="Times New Roman" w:hAnsi="Times New Roman" w:cs="Times New Roman"/>
        </w:rPr>
        <w:t>Биогазовые</w:t>
      </w:r>
      <w:proofErr w:type="spellEnd"/>
      <w:r w:rsidRPr="00D41CF6">
        <w:rPr>
          <w:rFonts w:ascii="Times New Roman" w:hAnsi="Times New Roman" w:cs="Times New Roman"/>
        </w:rPr>
        <w:t xml:space="preserve"> установки</w:t>
      </w:r>
    </w:p>
    <w:p w:rsidR="00D41CF6" w:rsidRPr="002A33AE" w:rsidRDefault="00D41CF6" w:rsidP="002F3F9D">
      <w:pPr>
        <w:pStyle w:val="a6"/>
        <w:tabs>
          <w:tab w:val="left" w:pos="1170"/>
        </w:tabs>
        <w:spacing w:line="240" w:lineRule="auto"/>
        <w:ind w:left="1080"/>
        <w:rPr>
          <w:rFonts w:ascii="Times New Roman" w:hAnsi="Times New Roman" w:cs="Times New Roman"/>
        </w:rPr>
      </w:pPr>
      <w:r w:rsidRPr="002A33AE">
        <w:rPr>
          <w:rFonts w:ascii="Times New Roman" w:hAnsi="Times New Roman" w:cs="Times New Roman"/>
        </w:rPr>
        <w:t xml:space="preserve">16. </w:t>
      </w:r>
      <w:proofErr w:type="spellStart"/>
      <w:r w:rsidRPr="00D41CF6">
        <w:rPr>
          <w:rFonts w:ascii="Times New Roman" w:hAnsi="Times New Roman" w:cs="Times New Roman"/>
          <w:lang w:val="en-US"/>
        </w:rPr>
        <w:t>yavnauke</w:t>
      </w:r>
      <w:proofErr w:type="spellEnd"/>
      <w:r w:rsidRPr="002A33AE">
        <w:rPr>
          <w:rFonts w:ascii="Times New Roman" w:hAnsi="Times New Roman" w:cs="Times New Roman"/>
        </w:rPr>
        <w:t>.</w:t>
      </w:r>
      <w:proofErr w:type="spellStart"/>
      <w:r w:rsidRPr="00D41CF6">
        <w:rPr>
          <w:rFonts w:ascii="Times New Roman" w:hAnsi="Times New Roman" w:cs="Times New Roman"/>
          <w:lang w:val="en-US"/>
        </w:rPr>
        <w:t>ru</w:t>
      </w:r>
      <w:proofErr w:type="spellEnd"/>
      <w:r w:rsidRPr="002A33AE">
        <w:rPr>
          <w:rFonts w:ascii="Times New Roman" w:hAnsi="Times New Roman" w:cs="Times New Roman"/>
        </w:rPr>
        <w:t>›</w:t>
      </w:r>
      <w:proofErr w:type="spellStart"/>
      <w:r w:rsidRPr="00D41CF6">
        <w:rPr>
          <w:rFonts w:ascii="Times New Roman" w:hAnsi="Times New Roman" w:cs="Times New Roman"/>
          <w:lang w:val="en-US"/>
        </w:rPr>
        <w:t>stati</w:t>
      </w:r>
      <w:proofErr w:type="spellEnd"/>
      <w:r w:rsidRPr="002A33AE">
        <w:rPr>
          <w:rFonts w:ascii="Times New Roman" w:hAnsi="Times New Roman" w:cs="Times New Roman"/>
        </w:rPr>
        <w:t>/</w:t>
      </w:r>
      <w:proofErr w:type="spellStart"/>
      <w:r w:rsidRPr="00D41CF6">
        <w:rPr>
          <w:rFonts w:ascii="Times New Roman" w:hAnsi="Times New Roman" w:cs="Times New Roman"/>
          <w:lang w:val="en-US"/>
        </w:rPr>
        <w:t>yekologija</w:t>
      </w:r>
      <w:proofErr w:type="spellEnd"/>
      <w:r w:rsidRPr="002A33AE">
        <w:rPr>
          <w:rFonts w:ascii="Times New Roman" w:hAnsi="Times New Roman" w:cs="Times New Roman"/>
        </w:rPr>
        <w:t>/</w:t>
      </w:r>
      <w:proofErr w:type="spellStart"/>
      <w:r w:rsidRPr="00D41CF6">
        <w:rPr>
          <w:rFonts w:ascii="Times New Roman" w:hAnsi="Times New Roman" w:cs="Times New Roman"/>
          <w:lang w:val="en-US"/>
        </w:rPr>
        <w:t>yekonomiko</w:t>
      </w:r>
      <w:proofErr w:type="spellEnd"/>
    </w:p>
    <w:p w:rsidR="002A33AE" w:rsidRDefault="002A33AE"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F443D" w:rsidRDefault="000F443D" w:rsidP="002F3F9D">
      <w:pPr>
        <w:spacing w:line="240" w:lineRule="auto"/>
        <w:jc w:val="center"/>
        <w:rPr>
          <w:rFonts w:ascii="Times New Roman" w:hAnsi="Times New Roman" w:cs="Times New Roman"/>
          <w:b/>
          <w:sz w:val="24"/>
          <w:szCs w:val="24"/>
        </w:rPr>
      </w:pPr>
    </w:p>
    <w:p w:rsidR="00050C01" w:rsidRPr="00050C01" w:rsidRDefault="002F3F9D" w:rsidP="002F3F9D">
      <w:pPr>
        <w:spacing w:line="240" w:lineRule="auto"/>
        <w:jc w:val="center"/>
        <w:rPr>
          <w:rFonts w:ascii="Times New Roman" w:hAnsi="Times New Roman" w:cs="Times New Roman"/>
          <w:b/>
          <w:sz w:val="24"/>
          <w:szCs w:val="24"/>
        </w:rPr>
      </w:pPr>
      <w:r w:rsidRPr="00050C01">
        <w:rPr>
          <w:rFonts w:ascii="Times New Roman" w:hAnsi="Times New Roman" w:cs="Times New Roman"/>
          <w:b/>
          <w:sz w:val="24"/>
          <w:szCs w:val="24"/>
        </w:rPr>
        <w:lastRenderedPageBreak/>
        <w:t xml:space="preserve"> </w:t>
      </w:r>
      <w:r w:rsidR="00050C01" w:rsidRPr="00050C01">
        <w:rPr>
          <w:rFonts w:ascii="Times New Roman" w:hAnsi="Times New Roman" w:cs="Times New Roman"/>
          <w:b/>
          <w:sz w:val="24"/>
          <w:szCs w:val="24"/>
        </w:rPr>
        <w:t>«Индекс развития человеческого потенциала в оценке социально-экономического развития Республики Саха (Якутия)»</w:t>
      </w:r>
    </w:p>
    <w:p w:rsidR="00050C01" w:rsidRPr="00050C01" w:rsidRDefault="00050C01" w:rsidP="002F3F9D">
      <w:pPr>
        <w:spacing w:line="240" w:lineRule="auto"/>
        <w:jc w:val="right"/>
        <w:rPr>
          <w:rFonts w:ascii="Times New Roman" w:hAnsi="Times New Roman" w:cs="Times New Roman"/>
          <w:sz w:val="24"/>
          <w:szCs w:val="24"/>
        </w:rPr>
      </w:pPr>
      <w:r w:rsidRPr="00050C01">
        <w:rPr>
          <w:rFonts w:ascii="Times New Roman" w:hAnsi="Times New Roman" w:cs="Times New Roman"/>
          <w:sz w:val="24"/>
          <w:szCs w:val="24"/>
        </w:rPr>
        <w:t xml:space="preserve">                Захарова А</w:t>
      </w:r>
      <w:r w:rsidR="002F3F9D">
        <w:rPr>
          <w:rFonts w:ascii="Times New Roman" w:hAnsi="Times New Roman" w:cs="Times New Roman"/>
          <w:sz w:val="24"/>
          <w:szCs w:val="24"/>
        </w:rPr>
        <w:t xml:space="preserve">лександра </w:t>
      </w:r>
      <w:r w:rsidRPr="00050C01">
        <w:rPr>
          <w:rFonts w:ascii="Times New Roman" w:hAnsi="Times New Roman" w:cs="Times New Roman"/>
          <w:sz w:val="24"/>
          <w:szCs w:val="24"/>
        </w:rPr>
        <w:t xml:space="preserve"> А</w:t>
      </w:r>
      <w:r w:rsidR="002F3F9D">
        <w:rPr>
          <w:rFonts w:ascii="Times New Roman" w:hAnsi="Times New Roman" w:cs="Times New Roman"/>
          <w:sz w:val="24"/>
          <w:szCs w:val="24"/>
        </w:rPr>
        <w:t>лександровна</w:t>
      </w:r>
    </w:p>
    <w:p w:rsidR="00AC07B5" w:rsidRDefault="00050C01" w:rsidP="002F3F9D">
      <w:pPr>
        <w:spacing w:line="240" w:lineRule="auto"/>
        <w:jc w:val="right"/>
        <w:rPr>
          <w:rFonts w:ascii="Times New Roman" w:hAnsi="Times New Roman" w:cs="Times New Roman"/>
          <w:sz w:val="24"/>
          <w:szCs w:val="24"/>
        </w:rPr>
      </w:pPr>
      <w:r w:rsidRPr="00050C01">
        <w:rPr>
          <w:rFonts w:ascii="Times New Roman" w:hAnsi="Times New Roman" w:cs="Times New Roman"/>
          <w:sz w:val="24"/>
          <w:szCs w:val="24"/>
        </w:rPr>
        <w:t xml:space="preserve">                                               студентка 1 курса гр. </w:t>
      </w:r>
    </w:p>
    <w:p w:rsidR="00050C01" w:rsidRPr="00050C01" w:rsidRDefault="00050C01" w:rsidP="002F3F9D">
      <w:pPr>
        <w:spacing w:line="240" w:lineRule="auto"/>
        <w:jc w:val="right"/>
        <w:rPr>
          <w:rFonts w:ascii="Times New Roman" w:hAnsi="Times New Roman" w:cs="Times New Roman"/>
          <w:sz w:val="24"/>
          <w:szCs w:val="24"/>
        </w:rPr>
      </w:pPr>
      <w:r w:rsidRPr="00050C01">
        <w:rPr>
          <w:rFonts w:ascii="Times New Roman" w:hAnsi="Times New Roman" w:cs="Times New Roman"/>
          <w:sz w:val="24"/>
          <w:szCs w:val="24"/>
        </w:rPr>
        <w:t>Э</w:t>
      </w:r>
      <w:r w:rsidR="00AC07B5">
        <w:rPr>
          <w:rFonts w:ascii="Times New Roman" w:hAnsi="Times New Roman" w:cs="Times New Roman"/>
          <w:sz w:val="24"/>
          <w:szCs w:val="24"/>
        </w:rPr>
        <w:t xml:space="preserve">кономика </w:t>
      </w:r>
      <w:r w:rsidRPr="00050C01">
        <w:rPr>
          <w:rFonts w:ascii="Times New Roman" w:hAnsi="Times New Roman" w:cs="Times New Roman"/>
          <w:sz w:val="24"/>
          <w:szCs w:val="24"/>
        </w:rPr>
        <w:t>и</w:t>
      </w:r>
      <w:r w:rsidR="00AC07B5">
        <w:rPr>
          <w:rFonts w:ascii="Times New Roman" w:hAnsi="Times New Roman" w:cs="Times New Roman"/>
          <w:sz w:val="24"/>
          <w:szCs w:val="24"/>
        </w:rPr>
        <w:t xml:space="preserve"> бухгалтерский учет</w:t>
      </w:r>
    </w:p>
    <w:p w:rsidR="00050C01" w:rsidRPr="00050C01" w:rsidRDefault="00050C01" w:rsidP="002F3F9D">
      <w:pPr>
        <w:spacing w:line="240" w:lineRule="auto"/>
        <w:jc w:val="right"/>
        <w:rPr>
          <w:rFonts w:ascii="Times New Roman" w:hAnsi="Times New Roman" w:cs="Times New Roman"/>
          <w:sz w:val="24"/>
          <w:szCs w:val="24"/>
        </w:rPr>
      </w:pPr>
      <w:r w:rsidRPr="00050C01">
        <w:rPr>
          <w:rFonts w:ascii="Times New Roman" w:hAnsi="Times New Roman" w:cs="Times New Roman"/>
          <w:sz w:val="24"/>
          <w:szCs w:val="24"/>
        </w:rPr>
        <w:t xml:space="preserve">                                         Научный руководитель:</w:t>
      </w:r>
    </w:p>
    <w:p w:rsidR="00050C01" w:rsidRPr="00050C01" w:rsidRDefault="00050C01" w:rsidP="002F3F9D">
      <w:pPr>
        <w:spacing w:line="240" w:lineRule="auto"/>
        <w:jc w:val="right"/>
        <w:rPr>
          <w:rFonts w:ascii="Times New Roman" w:hAnsi="Times New Roman" w:cs="Times New Roman"/>
          <w:sz w:val="24"/>
          <w:szCs w:val="24"/>
        </w:rPr>
      </w:pPr>
      <w:r w:rsidRPr="00050C01">
        <w:rPr>
          <w:rFonts w:ascii="Times New Roman" w:hAnsi="Times New Roman" w:cs="Times New Roman"/>
          <w:sz w:val="24"/>
          <w:szCs w:val="24"/>
        </w:rPr>
        <w:t xml:space="preserve">                                                                    Семенова </w:t>
      </w:r>
      <w:proofErr w:type="spellStart"/>
      <w:r w:rsidRPr="00050C01">
        <w:rPr>
          <w:rFonts w:ascii="Times New Roman" w:hAnsi="Times New Roman" w:cs="Times New Roman"/>
          <w:sz w:val="24"/>
          <w:szCs w:val="24"/>
        </w:rPr>
        <w:t>Н</w:t>
      </w:r>
      <w:r w:rsidR="002F3F9D">
        <w:rPr>
          <w:rFonts w:ascii="Times New Roman" w:hAnsi="Times New Roman" w:cs="Times New Roman"/>
          <w:sz w:val="24"/>
          <w:szCs w:val="24"/>
        </w:rPr>
        <w:t>юргустана</w:t>
      </w:r>
      <w:proofErr w:type="spellEnd"/>
      <w:r w:rsidRPr="00050C01">
        <w:rPr>
          <w:rFonts w:ascii="Times New Roman" w:hAnsi="Times New Roman" w:cs="Times New Roman"/>
          <w:sz w:val="24"/>
          <w:szCs w:val="24"/>
        </w:rPr>
        <w:t xml:space="preserve"> </w:t>
      </w:r>
      <w:proofErr w:type="spellStart"/>
      <w:r w:rsidRPr="00050C01">
        <w:rPr>
          <w:rFonts w:ascii="Times New Roman" w:hAnsi="Times New Roman" w:cs="Times New Roman"/>
          <w:sz w:val="24"/>
          <w:szCs w:val="24"/>
        </w:rPr>
        <w:t>М</w:t>
      </w:r>
      <w:r w:rsidR="002F3F9D">
        <w:rPr>
          <w:rFonts w:ascii="Times New Roman" w:hAnsi="Times New Roman" w:cs="Times New Roman"/>
          <w:sz w:val="24"/>
          <w:szCs w:val="24"/>
        </w:rPr>
        <w:t>акаровна</w:t>
      </w:r>
      <w:proofErr w:type="spellEnd"/>
    </w:p>
    <w:p w:rsidR="00050C01" w:rsidRPr="00050C01" w:rsidRDefault="00050C01" w:rsidP="002F3F9D">
      <w:pPr>
        <w:spacing w:line="240" w:lineRule="auto"/>
        <w:jc w:val="right"/>
        <w:rPr>
          <w:rFonts w:ascii="Times New Roman" w:hAnsi="Times New Roman" w:cs="Times New Roman"/>
          <w:sz w:val="24"/>
          <w:szCs w:val="24"/>
        </w:rPr>
      </w:pPr>
      <w:r w:rsidRPr="00050C01">
        <w:rPr>
          <w:rFonts w:ascii="Times New Roman" w:hAnsi="Times New Roman" w:cs="Times New Roman"/>
          <w:sz w:val="24"/>
          <w:szCs w:val="24"/>
        </w:rPr>
        <w:t xml:space="preserve">                                                                    Преподаватель </w:t>
      </w:r>
      <w:proofErr w:type="spellStart"/>
      <w:r w:rsidRPr="00050C01">
        <w:rPr>
          <w:rFonts w:ascii="Times New Roman" w:hAnsi="Times New Roman" w:cs="Times New Roman"/>
          <w:sz w:val="24"/>
          <w:szCs w:val="24"/>
        </w:rPr>
        <w:t>спецдисциплин</w:t>
      </w:r>
      <w:proofErr w:type="spellEnd"/>
    </w:p>
    <w:p w:rsidR="00050C01" w:rsidRPr="00050C01" w:rsidRDefault="00050C01" w:rsidP="002F3F9D">
      <w:pPr>
        <w:spacing w:line="240" w:lineRule="auto"/>
        <w:jc w:val="both"/>
        <w:rPr>
          <w:rFonts w:ascii="Times New Roman" w:hAnsi="Times New Roman" w:cs="Times New Roman"/>
          <w:b/>
          <w:sz w:val="24"/>
          <w:szCs w:val="24"/>
        </w:rPr>
      </w:pPr>
      <w:r w:rsidRPr="00050C01">
        <w:rPr>
          <w:rFonts w:ascii="Times New Roman" w:hAnsi="Times New Roman" w:cs="Times New Roman"/>
          <w:b/>
          <w:sz w:val="24"/>
          <w:szCs w:val="24"/>
        </w:rPr>
        <w:t>Введение</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В настоящее время существует методика расчета индекса человеческого развития, которая объединяет три показателя: валовой внутренний продукт на душу населения, грамотность населения и продолжительность предстоящей жизни.</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Развитие человеческого потенциала оценивается только с учетом трех факторов (ВВП, грамотность населения и продолжительность жизни), однако индекс человеческого развития, рассчитанный по трем вышеперечисленным показателям, не дает полного представления человеческого прогресса. Поэтому человеческий потенциал необходимо оценивать с учетом множества факторов и применением различных методов оценок для того, чтобы анализировать и прогнозировать развитие того или иного региона.</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u w:val="single"/>
        </w:rPr>
        <w:t>Основная цель</w:t>
      </w:r>
      <w:r w:rsidRPr="00050C01">
        <w:rPr>
          <w:rFonts w:ascii="Times New Roman" w:hAnsi="Times New Roman" w:cs="Times New Roman"/>
          <w:sz w:val="24"/>
          <w:szCs w:val="24"/>
        </w:rPr>
        <w:t xml:space="preserve"> исследования — мониторинг достижения Целей развития тысячелетия, адаптированных для регионов России на примере Республики Саха (Якутия), а также анализ влияния на этот процесс социальных и экономических тенденций последних лет.</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u w:val="single"/>
        </w:rPr>
        <w:t>Задачи</w:t>
      </w:r>
      <w:r w:rsidRPr="00050C01">
        <w:rPr>
          <w:rFonts w:ascii="Times New Roman" w:hAnsi="Times New Roman" w:cs="Times New Roman"/>
          <w:sz w:val="24"/>
          <w:szCs w:val="24"/>
        </w:rPr>
        <w:t>, решаемые в работе:</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1.  Анализ литературных источников и теоретических сведений по расчету индекса человеческого развития, обобщение полученных результатов.</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2.  Сбор и анализ статистических данных.</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3.  Оценка Республики Саха (Якутия) по индексу развития человеческого потенциала и разработка рекомендаций.</w:t>
      </w:r>
    </w:p>
    <w:p w:rsidR="00050C01" w:rsidRPr="00050C01" w:rsidRDefault="00050C01" w:rsidP="002F3F9D">
      <w:pPr>
        <w:spacing w:line="240" w:lineRule="auto"/>
        <w:jc w:val="both"/>
        <w:rPr>
          <w:rFonts w:ascii="Times New Roman" w:hAnsi="Times New Roman" w:cs="Times New Roman"/>
          <w:b/>
          <w:sz w:val="24"/>
          <w:szCs w:val="24"/>
          <w:u w:val="single"/>
        </w:rPr>
      </w:pPr>
      <w:r w:rsidRPr="00050C01">
        <w:rPr>
          <w:rFonts w:ascii="Times New Roman" w:hAnsi="Times New Roman" w:cs="Times New Roman"/>
          <w:b/>
          <w:sz w:val="24"/>
          <w:szCs w:val="24"/>
          <w:u w:val="single"/>
        </w:rPr>
        <w:t>1. Понятие индекса развития человеческого потенциала</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     Оценка качества жизни с использованием индекса развития человеческого потенциала строится на минимальном наборе базовых показателей. Каждый из базовых показателей количественно представляет одно из основных направлений человеческого развития: долголетие, образованность и продолжительность жизни</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    Величина ИРЧП служит критерием разделения стран на группы с различным уровнем человеческого развития. </w:t>
      </w:r>
      <w:proofErr w:type="gramStart"/>
      <w:r w:rsidRPr="00050C01">
        <w:rPr>
          <w:rFonts w:ascii="Times New Roman" w:hAnsi="Times New Roman" w:cs="Times New Roman"/>
          <w:sz w:val="24"/>
          <w:szCs w:val="24"/>
        </w:rPr>
        <w:t>Вне зависимости от уровня экономического развития (будь это индустриальные или развивающиеся страны) к странам с высоким уровнем человеческого развития относятся те, в которых ИРЧП &gt; 0,8; к странам со средним уровнем человеческого развития – те, в которых 0,5 &lt; ИРЧП &lt; 0,8; к странам с низким уровнем человеческого развития – те, в которых ИРЧП &lt; 0,5.</w:t>
      </w:r>
      <w:proofErr w:type="gramEnd"/>
      <w:r w:rsidRPr="00050C01">
        <w:rPr>
          <w:rFonts w:ascii="Times New Roman" w:hAnsi="Times New Roman" w:cs="Times New Roman"/>
          <w:sz w:val="24"/>
          <w:szCs w:val="24"/>
        </w:rPr>
        <w:t xml:space="preserve"> Помимо ранжирования и разделения стран на группы, вычисление ИРЧП и индексов отдельных измерений позволяет оценить соответствие сложившейся ситуации неким ориентирам, выраженным оптимальными </w:t>
      </w:r>
      <w:r w:rsidRPr="00050C01">
        <w:rPr>
          <w:rFonts w:ascii="Times New Roman" w:hAnsi="Times New Roman" w:cs="Times New Roman"/>
          <w:sz w:val="24"/>
          <w:szCs w:val="24"/>
        </w:rPr>
        <w:lastRenderedPageBreak/>
        <w:t xml:space="preserve">значениями показателей человеческого развития, и ее изменение с течением времени. Сравнение индексов долголетия, образованности и уровня жизни дает возможность, при прочих равных условиях, уточнить приоритетность соответствующих программ человеческого развития. </w:t>
      </w:r>
    </w:p>
    <w:p w:rsidR="00050C01" w:rsidRPr="00050C01" w:rsidRDefault="00050C01" w:rsidP="002F3F9D">
      <w:pPr>
        <w:spacing w:line="240" w:lineRule="auto"/>
        <w:jc w:val="both"/>
        <w:rPr>
          <w:rFonts w:ascii="Times New Roman" w:hAnsi="Times New Roman" w:cs="Times New Roman"/>
          <w:b/>
          <w:sz w:val="24"/>
          <w:szCs w:val="24"/>
        </w:rPr>
      </w:pPr>
      <w:r w:rsidRPr="00050C01">
        <w:rPr>
          <w:rFonts w:ascii="Times New Roman" w:hAnsi="Times New Roman" w:cs="Times New Roman"/>
          <w:b/>
          <w:sz w:val="24"/>
          <w:szCs w:val="24"/>
        </w:rPr>
        <w:t>2.   Развитие человеческого потенциала в Российской Федерации: факты и цифры</w:t>
      </w:r>
    </w:p>
    <w:p w:rsidR="00050C01" w:rsidRPr="00050C01" w:rsidRDefault="00050C01" w:rsidP="002F3F9D">
      <w:pPr>
        <w:pBdr>
          <w:bottom w:val="single" w:sz="12" w:space="1" w:color="auto"/>
        </w:pBdr>
        <w:spacing w:line="240" w:lineRule="auto"/>
        <w:jc w:val="both"/>
        <w:rPr>
          <w:rFonts w:ascii="Times New Roman" w:hAnsi="Times New Roman" w:cs="Times New Roman"/>
          <w:sz w:val="24"/>
          <w:szCs w:val="24"/>
        </w:rPr>
      </w:pPr>
      <w:r w:rsidRPr="00050C01">
        <w:rPr>
          <w:rFonts w:ascii="Times New Roman" w:hAnsi="Times New Roman" w:cs="Times New Roman"/>
          <w:sz w:val="24"/>
          <w:szCs w:val="24"/>
          <w:u w:val="single"/>
        </w:rPr>
        <w:t xml:space="preserve">Индекс развития человеческого потенциала: </w:t>
      </w:r>
      <w:r w:rsidRPr="00050C01">
        <w:rPr>
          <w:rFonts w:ascii="Times New Roman" w:hAnsi="Times New Roman" w:cs="Times New Roman"/>
          <w:sz w:val="24"/>
          <w:szCs w:val="24"/>
        </w:rPr>
        <w:t>показатель индекса развития человеческого потенциала (ИРЧП) в России за 2008 год составляет 0,825. В 2006 году только 12 регионов имели ИРЧП выше 0,800, в 2007 году — 22 (более четверти всех субъектов Российской Федерации), в 2008 году — 30.</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Только в трех регионах Российской Федерации индекс развития человеческого потенциала ниже 0,750 — это Республики Тыва, Алтай и Еврейская автономная область.</w:t>
      </w:r>
    </w:p>
    <w:p w:rsidR="00050C01" w:rsidRPr="00050C01" w:rsidRDefault="00050C01" w:rsidP="002F3F9D">
      <w:pPr>
        <w:spacing w:line="240" w:lineRule="auto"/>
        <w:jc w:val="both"/>
        <w:rPr>
          <w:rFonts w:ascii="Times New Roman" w:hAnsi="Times New Roman" w:cs="Times New Roman"/>
          <w:sz w:val="24"/>
          <w:szCs w:val="24"/>
          <w:u w:val="single"/>
        </w:rPr>
      </w:pPr>
      <w:r w:rsidRPr="00050C01">
        <w:rPr>
          <w:rFonts w:ascii="Times New Roman" w:hAnsi="Times New Roman" w:cs="Times New Roman"/>
          <w:sz w:val="24"/>
          <w:szCs w:val="24"/>
          <w:u w:val="single"/>
        </w:rPr>
        <w:t>Индекс развития человеческого потенциала в Российской Федерации</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В докладе о развитии человека в Российской Федерации традиционно содержится информация об Индексе развития человеческого потенциала (ИРЧП), который ежегодно рассчитывается экспертами ПРООН совместно с группой независимых экспертов, использующими в своей работе, наряду с аналитическими разработками, статистические данные национальных институтов и различных международных организаций. Индекс измеряет достижения регионов страны с точки зрения продолжительности жизни, получения образования и фактического дохода, по трем основным направлениям: здоровье и долголетие, измеряемые показателем ожидаемой продолжительности жизни при </w:t>
      </w:r>
      <w:proofErr w:type="spellStart"/>
      <w:r w:rsidRPr="00050C01">
        <w:rPr>
          <w:rFonts w:ascii="Times New Roman" w:hAnsi="Times New Roman" w:cs="Times New Roman"/>
          <w:sz w:val="24"/>
          <w:szCs w:val="24"/>
        </w:rPr>
        <w:t>рождении</w:t>
      </w:r>
      <w:proofErr w:type="gramStart"/>
      <w:r w:rsidRPr="00050C01">
        <w:rPr>
          <w:rFonts w:ascii="Times New Roman" w:hAnsi="Times New Roman" w:cs="Times New Roman"/>
          <w:sz w:val="24"/>
          <w:szCs w:val="24"/>
        </w:rPr>
        <w:t>.И</w:t>
      </w:r>
      <w:proofErr w:type="gramEnd"/>
      <w:r w:rsidRPr="00050C01">
        <w:rPr>
          <w:rFonts w:ascii="Times New Roman" w:hAnsi="Times New Roman" w:cs="Times New Roman"/>
          <w:sz w:val="24"/>
          <w:szCs w:val="24"/>
        </w:rPr>
        <w:t>тоговый</w:t>
      </w:r>
      <w:proofErr w:type="spellEnd"/>
      <w:r w:rsidRPr="00050C01">
        <w:rPr>
          <w:rFonts w:ascii="Times New Roman" w:hAnsi="Times New Roman" w:cs="Times New Roman"/>
          <w:sz w:val="24"/>
          <w:szCs w:val="24"/>
        </w:rPr>
        <w:t xml:space="preserve"> индекс развития человеческого потенциала рассчитывается как среднеарифметическая сумма значений трех компонентов: индекса долголетия, индекса образования (состоящего из индекса грамотности с весом в 2/3 и индекса охвата обучением с весом 1/3) и индекса дохода. Первое место в рейтинге соответствует наивысшему значению ИРЧП. Значение ИРЧП 0,800 является нижней границей уровня развитых стран. Отчеты ООН с данными о развитии человека, как правило, запаздывают на два года, так как требуют международного сопоставления после публикации данных национальными статистическими службами. Таким образом, в текущем докладе на 2010 год представлены данные, рассчитанные по итогам 2008 года.</w:t>
      </w:r>
    </w:p>
    <w:p w:rsidR="00050C01" w:rsidRDefault="00050C01" w:rsidP="002F3F9D">
      <w:pPr>
        <w:spacing w:line="240" w:lineRule="auto"/>
        <w:jc w:val="both"/>
        <w:rPr>
          <w:rFonts w:ascii="Times New Roman" w:hAnsi="Times New Roman" w:cs="Times New Roman"/>
          <w:b/>
          <w:sz w:val="24"/>
          <w:szCs w:val="24"/>
        </w:rPr>
      </w:pPr>
      <w:r w:rsidRPr="00050C01">
        <w:rPr>
          <w:rFonts w:ascii="Times New Roman" w:hAnsi="Times New Roman" w:cs="Times New Roman"/>
          <w:b/>
          <w:sz w:val="24"/>
          <w:szCs w:val="24"/>
        </w:rPr>
        <w:t xml:space="preserve">3.Республика Саха (Якутия) в рейтинге регионов по индексу развития человеческого </w:t>
      </w:r>
      <w:r w:rsidR="002F3F9D" w:rsidRPr="00050C01">
        <w:rPr>
          <w:rFonts w:ascii="Times New Roman" w:hAnsi="Times New Roman" w:cs="Times New Roman"/>
          <w:b/>
          <w:sz w:val="24"/>
          <w:szCs w:val="24"/>
        </w:rPr>
        <w:t>потенциала (ИРЧП)</w:t>
      </w:r>
    </w:p>
    <w:tbl>
      <w:tblPr>
        <w:tblStyle w:val="a3"/>
        <w:tblpPr w:leftFromText="180" w:rightFromText="180" w:vertAnchor="page" w:horzAnchor="margin" w:tblpY="11626"/>
        <w:tblW w:w="0" w:type="auto"/>
        <w:tblLayout w:type="fixed"/>
        <w:tblLook w:val="04A0"/>
      </w:tblPr>
      <w:tblGrid>
        <w:gridCol w:w="817"/>
        <w:gridCol w:w="653"/>
        <w:gridCol w:w="942"/>
        <w:gridCol w:w="757"/>
        <w:gridCol w:w="1323"/>
        <w:gridCol w:w="1007"/>
        <w:gridCol w:w="1176"/>
        <w:gridCol w:w="951"/>
        <w:gridCol w:w="829"/>
        <w:gridCol w:w="1116"/>
      </w:tblGrid>
      <w:tr w:rsidR="002A33AE" w:rsidRPr="00050C01" w:rsidTr="002A33AE">
        <w:tc>
          <w:tcPr>
            <w:tcW w:w="81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год</w:t>
            </w:r>
          </w:p>
        </w:tc>
        <w:tc>
          <w:tcPr>
            <w:tcW w:w="65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ВВП долл. ППС</w:t>
            </w:r>
            <w:r w:rsidRPr="00050C01">
              <w:rPr>
                <w:rFonts w:ascii="Times New Roman" w:hAnsi="Times New Roman" w:cs="Times New Roman"/>
                <w:sz w:val="20"/>
                <w:szCs w:val="20"/>
              </w:rPr>
              <w:tab/>
            </w:r>
          </w:p>
          <w:p w:rsidR="002A33AE" w:rsidRPr="00050C01" w:rsidRDefault="002A33AE" w:rsidP="002A33AE">
            <w:pPr>
              <w:jc w:val="both"/>
              <w:rPr>
                <w:rFonts w:ascii="Times New Roman" w:hAnsi="Times New Roman" w:cs="Times New Roman"/>
                <w:sz w:val="20"/>
                <w:szCs w:val="20"/>
                <w:lang w:val="en-US"/>
              </w:rPr>
            </w:pPr>
          </w:p>
        </w:tc>
        <w:tc>
          <w:tcPr>
            <w:tcW w:w="942" w:type="dxa"/>
          </w:tcPr>
          <w:p w:rsidR="002A33AE" w:rsidRPr="00050C01" w:rsidRDefault="002A33AE" w:rsidP="002A33AE">
            <w:pPr>
              <w:jc w:val="both"/>
              <w:rPr>
                <w:rFonts w:ascii="Times New Roman" w:hAnsi="Times New Roman" w:cs="Times New Roman"/>
                <w:sz w:val="20"/>
                <w:szCs w:val="20"/>
                <w:lang w:val="en-US"/>
              </w:rPr>
            </w:pPr>
            <w:r w:rsidRPr="00050C01">
              <w:rPr>
                <w:rFonts w:ascii="Times New Roman" w:hAnsi="Times New Roman" w:cs="Times New Roman"/>
                <w:sz w:val="20"/>
                <w:szCs w:val="20"/>
              </w:rPr>
              <w:t>Индекс дохода</w:t>
            </w:r>
          </w:p>
        </w:tc>
        <w:tc>
          <w:tcPr>
            <w:tcW w:w="75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ОПЖ Индекс дохода</w:t>
            </w:r>
            <w:r w:rsidRPr="00050C01">
              <w:rPr>
                <w:rFonts w:ascii="Times New Roman" w:hAnsi="Times New Roman" w:cs="Times New Roman"/>
                <w:sz w:val="20"/>
                <w:szCs w:val="20"/>
              </w:rPr>
              <w:tab/>
            </w:r>
          </w:p>
          <w:p w:rsidR="002A33AE" w:rsidRPr="00050C01" w:rsidRDefault="002A33AE" w:rsidP="002A33AE">
            <w:pPr>
              <w:jc w:val="both"/>
              <w:rPr>
                <w:rFonts w:ascii="Times New Roman" w:hAnsi="Times New Roman" w:cs="Times New Roman"/>
                <w:sz w:val="20"/>
                <w:szCs w:val="20"/>
                <w:lang w:val="en-US"/>
              </w:rPr>
            </w:pPr>
          </w:p>
        </w:tc>
        <w:tc>
          <w:tcPr>
            <w:tcW w:w="1323" w:type="dxa"/>
          </w:tcPr>
          <w:p w:rsidR="002A33AE" w:rsidRPr="00050C01" w:rsidRDefault="002A33AE" w:rsidP="002A33AE">
            <w:pPr>
              <w:jc w:val="both"/>
              <w:rPr>
                <w:rFonts w:ascii="Times New Roman" w:hAnsi="Times New Roman" w:cs="Times New Roman"/>
                <w:sz w:val="20"/>
                <w:szCs w:val="20"/>
                <w:lang w:val="en-US"/>
              </w:rPr>
            </w:pPr>
            <w:r w:rsidRPr="00050C01">
              <w:rPr>
                <w:rFonts w:ascii="Times New Roman" w:hAnsi="Times New Roman" w:cs="Times New Roman"/>
                <w:sz w:val="20"/>
                <w:szCs w:val="20"/>
              </w:rPr>
              <w:t>Индекс долголетия</w:t>
            </w:r>
          </w:p>
        </w:tc>
        <w:tc>
          <w:tcPr>
            <w:tcW w:w="1007" w:type="dxa"/>
          </w:tcPr>
          <w:p w:rsidR="002A33AE" w:rsidRPr="00050C01" w:rsidRDefault="002A33AE" w:rsidP="002A33AE">
            <w:pPr>
              <w:jc w:val="both"/>
              <w:rPr>
                <w:rFonts w:ascii="Times New Roman" w:hAnsi="Times New Roman" w:cs="Times New Roman"/>
                <w:sz w:val="20"/>
                <w:szCs w:val="20"/>
              </w:rPr>
            </w:pPr>
            <w:proofErr w:type="spellStart"/>
            <w:proofErr w:type="gramStart"/>
            <w:r w:rsidRPr="00050C01">
              <w:rPr>
                <w:rFonts w:ascii="Times New Roman" w:hAnsi="Times New Roman" w:cs="Times New Roman"/>
                <w:sz w:val="20"/>
                <w:szCs w:val="20"/>
              </w:rPr>
              <w:t>Грамот-ность</w:t>
            </w:r>
            <w:proofErr w:type="spellEnd"/>
            <w:proofErr w:type="gramEnd"/>
            <w:r w:rsidRPr="00050C01">
              <w:rPr>
                <w:rFonts w:ascii="Times New Roman" w:hAnsi="Times New Roman" w:cs="Times New Roman"/>
                <w:sz w:val="20"/>
                <w:szCs w:val="20"/>
              </w:rPr>
              <w:tab/>
            </w:r>
          </w:p>
          <w:p w:rsidR="002A33AE" w:rsidRPr="00050C01" w:rsidRDefault="002A33AE" w:rsidP="002A33AE">
            <w:pPr>
              <w:jc w:val="both"/>
              <w:rPr>
                <w:rFonts w:ascii="Times New Roman" w:hAnsi="Times New Roman" w:cs="Times New Roman"/>
                <w:sz w:val="20"/>
                <w:szCs w:val="20"/>
                <w:lang w:val="en-US"/>
              </w:rPr>
            </w:pPr>
          </w:p>
        </w:tc>
        <w:tc>
          <w:tcPr>
            <w:tcW w:w="117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Доля учащихся в возрасте 7-24 лет</w:t>
            </w:r>
          </w:p>
        </w:tc>
        <w:tc>
          <w:tcPr>
            <w:tcW w:w="951" w:type="dxa"/>
          </w:tcPr>
          <w:p w:rsidR="002A33AE" w:rsidRPr="00050C01" w:rsidRDefault="002A33AE" w:rsidP="002A33AE">
            <w:pPr>
              <w:jc w:val="both"/>
              <w:rPr>
                <w:rFonts w:ascii="Times New Roman" w:hAnsi="Times New Roman" w:cs="Times New Roman"/>
                <w:sz w:val="20"/>
                <w:szCs w:val="20"/>
              </w:rPr>
            </w:pPr>
            <w:proofErr w:type="spellStart"/>
            <w:r w:rsidRPr="00050C01">
              <w:rPr>
                <w:rFonts w:ascii="Times New Roman" w:hAnsi="Times New Roman" w:cs="Times New Roman"/>
                <w:sz w:val="20"/>
                <w:szCs w:val="20"/>
                <w:lang w:val="en-US"/>
              </w:rPr>
              <w:t>Индекс</w:t>
            </w:r>
            <w:proofErr w:type="spellEnd"/>
            <w:r w:rsidRPr="00050C01">
              <w:rPr>
                <w:rFonts w:ascii="Times New Roman" w:hAnsi="Times New Roman" w:cs="Times New Roman"/>
                <w:sz w:val="20"/>
                <w:szCs w:val="20"/>
                <w:lang w:val="en-US"/>
              </w:rPr>
              <w:t xml:space="preserve"> </w:t>
            </w:r>
            <w:proofErr w:type="spellStart"/>
            <w:r w:rsidRPr="00050C01">
              <w:rPr>
                <w:rFonts w:ascii="Times New Roman" w:hAnsi="Times New Roman" w:cs="Times New Roman"/>
                <w:sz w:val="20"/>
                <w:szCs w:val="20"/>
                <w:lang w:val="en-US"/>
              </w:rPr>
              <w:t>образо-вания</w:t>
            </w:r>
            <w:proofErr w:type="spellEnd"/>
          </w:p>
        </w:tc>
        <w:tc>
          <w:tcPr>
            <w:tcW w:w="829"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ИРЧП</w:t>
            </w:r>
            <w:r w:rsidRPr="00050C01">
              <w:rPr>
                <w:rFonts w:ascii="Times New Roman" w:hAnsi="Times New Roman" w:cs="Times New Roman"/>
                <w:sz w:val="20"/>
                <w:szCs w:val="20"/>
                <w:lang w:val="en-US"/>
              </w:rPr>
              <w:tab/>
            </w:r>
          </w:p>
        </w:tc>
        <w:tc>
          <w:tcPr>
            <w:tcW w:w="1116" w:type="dxa"/>
          </w:tcPr>
          <w:p w:rsidR="002A33AE" w:rsidRPr="00050C01" w:rsidRDefault="002A33AE" w:rsidP="002A33AE">
            <w:pPr>
              <w:jc w:val="both"/>
              <w:rPr>
                <w:rFonts w:ascii="Times New Roman" w:hAnsi="Times New Roman" w:cs="Times New Roman"/>
                <w:sz w:val="20"/>
                <w:szCs w:val="20"/>
                <w:lang w:val="en-US"/>
              </w:rPr>
            </w:pPr>
            <w:proofErr w:type="spellStart"/>
            <w:r w:rsidRPr="00050C01">
              <w:rPr>
                <w:rFonts w:ascii="Times New Roman" w:hAnsi="Times New Roman" w:cs="Times New Roman"/>
                <w:sz w:val="20"/>
                <w:szCs w:val="20"/>
                <w:lang w:val="en-US"/>
              </w:rPr>
              <w:t>Место</w:t>
            </w:r>
            <w:proofErr w:type="spellEnd"/>
          </w:p>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в рейтинге регионов</w:t>
            </w:r>
          </w:p>
        </w:tc>
      </w:tr>
      <w:tr w:rsidR="002A33AE" w:rsidRPr="00050C01" w:rsidTr="002A33AE">
        <w:tc>
          <w:tcPr>
            <w:tcW w:w="81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2004 г.</w:t>
            </w:r>
          </w:p>
        </w:tc>
        <w:tc>
          <w:tcPr>
            <w:tcW w:w="65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11680</w:t>
            </w:r>
            <w:r w:rsidRPr="00050C01">
              <w:rPr>
                <w:rFonts w:ascii="Times New Roman" w:hAnsi="Times New Roman" w:cs="Times New Roman"/>
                <w:sz w:val="20"/>
                <w:szCs w:val="20"/>
              </w:rPr>
              <w:tab/>
            </w:r>
          </w:p>
          <w:p w:rsidR="002A33AE" w:rsidRPr="00050C01" w:rsidRDefault="002A33AE" w:rsidP="002A33AE">
            <w:pPr>
              <w:jc w:val="both"/>
              <w:rPr>
                <w:rFonts w:ascii="Times New Roman" w:hAnsi="Times New Roman" w:cs="Times New Roman"/>
                <w:sz w:val="20"/>
                <w:szCs w:val="20"/>
              </w:rPr>
            </w:pPr>
          </w:p>
        </w:tc>
        <w:tc>
          <w:tcPr>
            <w:tcW w:w="942"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0.795</w:t>
            </w:r>
          </w:p>
        </w:tc>
        <w:tc>
          <w:tcPr>
            <w:tcW w:w="75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64.2</w:t>
            </w:r>
          </w:p>
        </w:tc>
        <w:tc>
          <w:tcPr>
            <w:tcW w:w="132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0.654</w:t>
            </w:r>
          </w:p>
        </w:tc>
        <w:tc>
          <w:tcPr>
            <w:tcW w:w="100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99.0</w:t>
            </w:r>
          </w:p>
        </w:tc>
        <w:tc>
          <w:tcPr>
            <w:tcW w:w="117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78.4</w:t>
            </w:r>
          </w:p>
        </w:tc>
        <w:tc>
          <w:tcPr>
            <w:tcW w:w="951"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0.921</w:t>
            </w:r>
          </w:p>
        </w:tc>
        <w:tc>
          <w:tcPr>
            <w:tcW w:w="829"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0.790</w:t>
            </w:r>
            <w:r w:rsidRPr="00050C01">
              <w:rPr>
                <w:rFonts w:ascii="Times New Roman" w:hAnsi="Times New Roman" w:cs="Times New Roman"/>
                <w:sz w:val="20"/>
                <w:szCs w:val="20"/>
              </w:rPr>
              <w:tab/>
            </w:r>
          </w:p>
        </w:tc>
        <w:tc>
          <w:tcPr>
            <w:tcW w:w="111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8</w:t>
            </w:r>
          </w:p>
          <w:p w:rsidR="002A33AE" w:rsidRPr="00050C01" w:rsidRDefault="002A33AE" w:rsidP="002A33AE">
            <w:pPr>
              <w:jc w:val="both"/>
              <w:rPr>
                <w:rFonts w:ascii="Times New Roman" w:hAnsi="Times New Roman" w:cs="Times New Roman"/>
                <w:sz w:val="20"/>
                <w:szCs w:val="20"/>
              </w:rPr>
            </w:pPr>
          </w:p>
        </w:tc>
      </w:tr>
      <w:tr w:rsidR="002A33AE" w:rsidRPr="00050C01" w:rsidTr="002A33AE">
        <w:tc>
          <w:tcPr>
            <w:tcW w:w="81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2005 г.</w:t>
            </w:r>
          </w:p>
        </w:tc>
        <w:tc>
          <w:tcPr>
            <w:tcW w:w="65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12850</w:t>
            </w:r>
          </w:p>
        </w:tc>
        <w:tc>
          <w:tcPr>
            <w:tcW w:w="942"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0.810</w:t>
            </w:r>
          </w:p>
        </w:tc>
        <w:tc>
          <w:tcPr>
            <w:tcW w:w="75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64.7</w:t>
            </w:r>
            <w:r w:rsidRPr="00050C01">
              <w:rPr>
                <w:rFonts w:ascii="Times New Roman" w:hAnsi="Times New Roman" w:cs="Times New Roman"/>
                <w:sz w:val="20"/>
                <w:szCs w:val="20"/>
              </w:rPr>
              <w:tab/>
            </w:r>
          </w:p>
          <w:p w:rsidR="002A33AE" w:rsidRPr="00050C01" w:rsidRDefault="002A33AE" w:rsidP="002A33AE">
            <w:pPr>
              <w:jc w:val="both"/>
              <w:rPr>
                <w:rFonts w:ascii="Times New Roman" w:hAnsi="Times New Roman" w:cs="Times New Roman"/>
                <w:sz w:val="20"/>
                <w:szCs w:val="20"/>
              </w:rPr>
            </w:pPr>
          </w:p>
        </w:tc>
        <w:tc>
          <w:tcPr>
            <w:tcW w:w="132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0.662</w:t>
            </w:r>
          </w:p>
        </w:tc>
        <w:tc>
          <w:tcPr>
            <w:tcW w:w="100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99.0</w:t>
            </w:r>
          </w:p>
        </w:tc>
        <w:tc>
          <w:tcPr>
            <w:tcW w:w="117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77.9</w:t>
            </w:r>
          </w:p>
        </w:tc>
        <w:tc>
          <w:tcPr>
            <w:tcW w:w="951"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0.920</w:t>
            </w:r>
          </w:p>
        </w:tc>
        <w:tc>
          <w:tcPr>
            <w:tcW w:w="829"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0.797</w:t>
            </w:r>
          </w:p>
        </w:tc>
        <w:tc>
          <w:tcPr>
            <w:tcW w:w="111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7</w:t>
            </w:r>
          </w:p>
          <w:p w:rsidR="002A33AE" w:rsidRPr="00050C01" w:rsidRDefault="002A33AE" w:rsidP="002A33AE">
            <w:pPr>
              <w:jc w:val="both"/>
              <w:rPr>
                <w:rFonts w:ascii="Times New Roman" w:hAnsi="Times New Roman" w:cs="Times New Roman"/>
                <w:sz w:val="20"/>
                <w:szCs w:val="20"/>
              </w:rPr>
            </w:pPr>
          </w:p>
        </w:tc>
      </w:tr>
      <w:tr w:rsidR="002A33AE" w:rsidRPr="00050C01" w:rsidTr="002A33AE">
        <w:tc>
          <w:tcPr>
            <w:tcW w:w="81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2006 г.</w:t>
            </w:r>
          </w:p>
        </w:tc>
        <w:tc>
          <w:tcPr>
            <w:tcW w:w="65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12658</w:t>
            </w:r>
          </w:p>
        </w:tc>
        <w:tc>
          <w:tcPr>
            <w:tcW w:w="942"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0.808</w:t>
            </w:r>
          </w:p>
        </w:tc>
        <w:tc>
          <w:tcPr>
            <w:tcW w:w="75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65.55</w:t>
            </w:r>
          </w:p>
        </w:tc>
        <w:tc>
          <w:tcPr>
            <w:tcW w:w="132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0.676</w:t>
            </w:r>
          </w:p>
        </w:tc>
        <w:tc>
          <w:tcPr>
            <w:tcW w:w="100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99.0</w:t>
            </w:r>
          </w:p>
        </w:tc>
        <w:tc>
          <w:tcPr>
            <w:tcW w:w="117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75.9</w:t>
            </w:r>
          </w:p>
        </w:tc>
        <w:tc>
          <w:tcPr>
            <w:tcW w:w="951"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0.913</w:t>
            </w:r>
          </w:p>
        </w:tc>
        <w:tc>
          <w:tcPr>
            <w:tcW w:w="829"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0.799</w:t>
            </w:r>
          </w:p>
        </w:tc>
        <w:tc>
          <w:tcPr>
            <w:tcW w:w="111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14</w:t>
            </w:r>
          </w:p>
          <w:p w:rsidR="002A33AE" w:rsidRPr="00050C01" w:rsidRDefault="002A33AE" w:rsidP="002A33AE">
            <w:pPr>
              <w:jc w:val="both"/>
              <w:rPr>
                <w:rFonts w:ascii="Times New Roman" w:hAnsi="Times New Roman" w:cs="Times New Roman"/>
                <w:sz w:val="20"/>
                <w:szCs w:val="20"/>
              </w:rPr>
            </w:pPr>
          </w:p>
        </w:tc>
      </w:tr>
      <w:tr w:rsidR="002A33AE" w:rsidRPr="00050C01" w:rsidTr="002A33AE">
        <w:tc>
          <w:tcPr>
            <w:tcW w:w="81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 xml:space="preserve"> 2008 г</w:t>
            </w:r>
          </w:p>
        </w:tc>
        <w:tc>
          <w:tcPr>
            <w:tcW w:w="65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15 702</w:t>
            </w:r>
          </w:p>
        </w:tc>
        <w:tc>
          <w:tcPr>
            <w:tcW w:w="942"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rPr>
              <w:t>0.808</w:t>
            </w:r>
          </w:p>
        </w:tc>
        <w:tc>
          <w:tcPr>
            <w:tcW w:w="75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65,78</w:t>
            </w:r>
          </w:p>
        </w:tc>
        <w:tc>
          <w:tcPr>
            <w:tcW w:w="1323"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0,680</w:t>
            </w:r>
          </w:p>
        </w:tc>
        <w:tc>
          <w:tcPr>
            <w:tcW w:w="1007"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99,0</w:t>
            </w:r>
          </w:p>
        </w:tc>
        <w:tc>
          <w:tcPr>
            <w:tcW w:w="117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76,8</w:t>
            </w:r>
          </w:p>
        </w:tc>
        <w:tc>
          <w:tcPr>
            <w:tcW w:w="951"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0,916</w:t>
            </w:r>
          </w:p>
        </w:tc>
        <w:tc>
          <w:tcPr>
            <w:tcW w:w="829"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0,813</w:t>
            </w:r>
          </w:p>
        </w:tc>
        <w:tc>
          <w:tcPr>
            <w:tcW w:w="1116" w:type="dxa"/>
          </w:tcPr>
          <w:p w:rsidR="002A33AE" w:rsidRPr="00050C01" w:rsidRDefault="002A33AE" w:rsidP="002A33AE">
            <w:pPr>
              <w:jc w:val="both"/>
              <w:rPr>
                <w:rFonts w:ascii="Times New Roman" w:hAnsi="Times New Roman" w:cs="Times New Roman"/>
                <w:sz w:val="20"/>
                <w:szCs w:val="20"/>
              </w:rPr>
            </w:pPr>
            <w:r w:rsidRPr="00050C01">
              <w:rPr>
                <w:rFonts w:ascii="Times New Roman" w:hAnsi="Times New Roman" w:cs="Times New Roman"/>
                <w:sz w:val="20"/>
                <w:szCs w:val="20"/>
                <w:lang w:val="en-US"/>
              </w:rPr>
              <w:t>19</w:t>
            </w:r>
          </w:p>
        </w:tc>
      </w:tr>
    </w:tbl>
    <w:p w:rsidR="002F3F9D" w:rsidRPr="00050C01" w:rsidRDefault="002F3F9D" w:rsidP="002F3F9D">
      <w:pPr>
        <w:spacing w:line="240" w:lineRule="auto"/>
        <w:jc w:val="both"/>
        <w:rPr>
          <w:rFonts w:ascii="Times New Roman" w:hAnsi="Times New Roman" w:cs="Times New Roman"/>
          <w:b/>
          <w:sz w:val="24"/>
          <w:szCs w:val="24"/>
        </w:rPr>
      </w:pPr>
    </w:p>
    <w:p w:rsidR="00050C01" w:rsidRPr="00050C01" w:rsidRDefault="00050C01" w:rsidP="002F3F9D">
      <w:pPr>
        <w:spacing w:line="240" w:lineRule="auto"/>
        <w:jc w:val="both"/>
        <w:rPr>
          <w:rFonts w:ascii="Times New Roman" w:hAnsi="Times New Roman" w:cs="Times New Roman"/>
          <w:b/>
          <w:sz w:val="24"/>
          <w:szCs w:val="24"/>
        </w:rPr>
      </w:pPr>
      <w:r w:rsidRPr="00050C01">
        <w:rPr>
          <w:rFonts w:ascii="Times New Roman" w:hAnsi="Times New Roman" w:cs="Times New Roman"/>
          <w:b/>
          <w:sz w:val="24"/>
          <w:szCs w:val="24"/>
        </w:rPr>
        <w:lastRenderedPageBreak/>
        <w:t>4.Социально-экономическое развитие Республики Саха (Якутии) по основным параметрам оценки ИРЧП</w:t>
      </w:r>
    </w:p>
    <w:p w:rsidR="00050C01" w:rsidRPr="00050C01" w:rsidRDefault="00050C01" w:rsidP="002F3F9D">
      <w:pPr>
        <w:pBdr>
          <w:bottom w:val="single" w:sz="12" w:space="1" w:color="auto"/>
        </w:pBd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Социально-экономическое развитие Республики Саха (Якутия) в 2011 году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характеризируется динамическим ростом основных макроэкономических показателей. Республика не только не сбавила темпы развития, но и постепенно их наращивает.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Якутия входит в пятерку регионов с наибольшими показателями объема ВРП на душу населения, среди регионов Дальневосточного федерального округа занимает третье место после Сахалинской области и Чукотского автономного округа. Прирост ВРП республики за I полугодие текущего года составил 6%, в России - 3,7%.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По оценке 2011 года ВРП Якутии ожидается в объёме 411,5 млрд. руб. Удельный вес инвестиций в основной капитал по республике в объёме ВРП в 2011 году составит 36% против 32% в 2010 году. В Российской Федерации удельный вес инвестиций в объёме ВВП в 2011 году составит 19,7% против 20,4% в 2010 году.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Объём ВРП на душу населения в Республике Саха (Якутия) составит 429 тыс. руб., что на 37% выше, чем средний по ДФО и на 36% выше, чем средний по стране.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За последние годы динамика индекса развития человеческого потенциала в Республике Саха (Якутия) показывает положительную тенденцию роста. Так, по последним данным, Республика Саха (Якутия) вошла в группу развитых регионов России по индексу человеческого потенциала, заняв 19 место. Среди регионов Дальневосточного федерального округа – второе место (0,813) после Сахалинской области (0,829). </w:t>
      </w:r>
    </w:p>
    <w:p w:rsidR="00050C01" w:rsidRPr="00050C01" w:rsidRDefault="00050C01" w:rsidP="002F3F9D">
      <w:pPr>
        <w:spacing w:line="240" w:lineRule="auto"/>
        <w:jc w:val="both"/>
        <w:rPr>
          <w:rFonts w:ascii="Times New Roman" w:hAnsi="Times New Roman" w:cs="Times New Roman"/>
          <w:sz w:val="24"/>
          <w:szCs w:val="24"/>
        </w:rPr>
      </w:pPr>
      <w:proofErr w:type="gramStart"/>
      <w:r w:rsidRPr="00050C01">
        <w:rPr>
          <w:rFonts w:ascii="Times New Roman" w:hAnsi="Times New Roman" w:cs="Times New Roman"/>
          <w:sz w:val="24"/>
          <w:szCs w:val="24"/>
        </w:rPr>
        <w:t xml:space="preserve">В 2010 году положительная динамика развития республики базировалась на интенсивном росте промышленного производства (118%), в том числе за счет активизации потребительского спроса на фоне повышения денежных доходов населения (102,8%), прибыли предприятий (в 3,6 р.), грузооборота транспорта (104,8%), оборота розничной торговли (103,6%), платных услуг населению (105,7%) и увеличения ввода жилья на 3,4%. </w:t>
      </w:r>
      <w:proofErr w:type="gramEnd"/>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За январь-август 2011года индекс промышленного производства составил 116,2% к январю-августу 2010 года. Достижение индекса промышленного производства в основном связано с ростом добычи алмазов (109,1% к прошлому году), золота – 105,1%, нефти, включая газовый конденсат – 170,5%.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Тенденция наращивания объема выработки электроэнергии в значительной степени связана с ростом промышленного производства в энергоемких отраслях республики - в алмазодобывающей промышленности (109,1% к уровню прошлого года) и в нефтедобывающей промышленности (164%).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В 2011 году объем добычи алмазов оценивается в 2 609,6 млн. долл. США с увеличением к уровню предыдущего года на 8,3%.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 xml:space="preserve">Объем работ по виду деятельности «строительство» за январь-август 2011 года составил 30,5 млрд. рублей или 119%. </w:t>
      </w:r>
    </w:p>
    <w:p w:rsidR="00050C01" w:rsidRPr="00050C01" w:rsidRDefault="00050C01" w:rsidP="002F3F9D">
      <w:pPr>
        <w:spacing w:line="240" w:lineRule="auto"/>
        <w:jc w:val="both"/>
        <w:rPr>
          <w:rFonts w:ascii="Times New Roman" w:hAnsi="Times New Roman" w:cs="Times New Roman"/>
          <w:sz w:val="24"/>
          <w:szCs w:val="24"/>
        </w:rPr>
      </w:pPr>
      <w:r w:rsidRPr="00050C01">
        <w:rPr>
          <w:rFonts w:ascii="Times New Roman" w:hAnsi="Times New Roman" w:cs="Times New Roman"/>
          <w:sz w:val="24"/>
          <w:szCs w:val="24"/>
        </w:rPr>
        <w:t>Доля социально-ориентированных расходов государственного бюджета в 2012 году составит более 75%, что приведет к повышению фонда оплаты труда в бюджетной сфере, индексации социальных пособий и стипендий.</w:t>
      </w:r>
    </w:p>
    <w:p w:rsidR="00050C01" w:rsidRPr="002F3F9D" w:rsidRDefault="00050C01"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В текущем году с превышением темпов роста заработной платы над уровнем индекса потребительских цен рост реальной заработной платы ожидается до 109,6% по </w:t>
      </w:r>
      <w:r w:rsidRPr="002F3F9D">
        <w:rPr>
          <w:rFonts w:ascii="Times New Roman" w:hAnsi="Times New Roman" w:cs="Times New Roman"/>
          <w:sz w:val="24"/>
          <w:szCs w:val="24"/>
        </w:rPr>
        <w:lastRenderedPageBreak/>
        <w:t xml:space="preserve">отношению к прошлому году. Оценочный уровень среднемесячной заработной платы в 2011 году составит 33,7 тысяч рублей. </w:t>
      </w:r>
    </w:p>
    <w:p w:rsidR="00050C01" w:rsidRPr="002F3F9D" w:rsidRDefault="00050C01"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В целом по России среднемесячная заработная плата в 2011 году составит 23,5 тыс. рублей, реальная при этом увеличится на 3,6%. </w:t>
      </w:r>
    </w:p>
    <w:p w:rsidR="00050C01" w:rsidRPr="002F3F9D" w:rsidRDefault="00050C01"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С учетом реализации задач по повышению заработной платы бюджетной сферы наблюдается рост среднедушевых денежных доходов. Номинальные среднедушевые денежные доходы населения в январе-августе 2011 года составили 22962 рубля. Темпы роста реальных располагаемых денежных доходов населения были выше (103,2%), чем за аналогичный период прошлого года (101,8%).</w:t>
      </w:r>
    </w:p>
    <w:p w:rsidR="00050C01" w:rsidRPr="002F3F9D" w:rsidRDefault="00050C01"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На базе одобренной еще в 2007 году Правительством Российской Федерации «Схемы развития производительных сил, энергетики и транспорта до 2020 года» Правительством Республики Саха (Якутия) одобрена «Программа социально-экономического развития Республики Саха (Якутия) до 2025 года и основных направлений до 2030 года», которая находится на рассмотрении Президента республики.</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Обращаю ваше внимание на специфические факторы влияния на развитие </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человеческого потенциала, повышение уровня и качества жизни населения республики, сложившиеся на данном этапе:</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1. характерный для республики высокий удельный вес сельского населения в размере 36%, в то время когда </w:t>
      </w:r>
      <w:proofErr w:type="spellStart"/>
      <w:r w:rsidRPr="002F3F9D">
        <w:rPr>
          <w:rFonts w:ascii="Times New Roman" w:hAnsi="Times New Roman" w:cs="Times New Roman"/>
          <w:sz w:val="24"/>
          <w:szCs w:val="24"/>
        </w:rPr>
        <w:t>среднероссийский</w:t>
      </w:r>
      <w:proofErr w:type="spellEnd"/>
      <w:r w:rsidRPr="002F3F9D">
        <w:rPr>
          <w:rFonts w:ascii="Times New Roman" w:hAnsi="Times New Roman" w:cs="Times New Roman"/>
          <w:sz w:val="24"/>
          <w:szCs w:val="24"/>
        </w:rPr>
        <w:t xml:space="preserve"> показатель составляет всего 26 % (ДФО – 25%). </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2.кроме того, в структуре среднегодовой численности занятого населения порядка 28% занимают работники бюджетной сферы. Это самый высокий показатель среди регионов Дальнего Востока, где колебания составляют от 17 до 23%. В среднем по России этот показатель равен 20%. Такая высокая численность занятого населения в бюджетной сфере обусловлена значительной разбросанностью населенных пунктов, а также </w:t>
      </w:r>
      <w:proofErr w:type="spellStart"/>
      <w:r w:rsidRPr="002F3F9D">
        <w:rPr>
          <w:rFonts w:ascii="Times New Roman" w:hAnsi="Times New Roman" w:cs="Times New Roman"/>
          <w:sz w:val="24"/>
          <w:szCs w:val="24"/>
        </w:rPr>
        <w:t>моноотраслевым</w:t>
      </w:r>
      <w:proofErr w:type="spellEnd"/>
      <w:r w:rsidRPr="002F3F9D">
        <w:rPr>
          <w:rFonts w:ascii="Times New Roman" w:hAnsi="Times New Roman" w:cs="Times New Roman"/>
          <w:sz w:val="24"/>
          <w:szCs w:val="24"/>
        </w:rPr>
        <w:t xml:space="preserve"> характером экономики республики.</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Тенденция отставания показателей реальной заработной платы в республике от </w:t>
      </w:r>
      <w:proofErr w:type="spellStart"/>
      <w:r w:rsidRPr="002F3F9D">
        <w:rPr>
          <w:rFonts w:ascii="Times New Roman" w:hAnsi="Times New Roman" w:cs="Times New Roman"/>
          <w:sz w:val="24"/>
          <w:szCs w:val="24"/>
        </w:rPr>
        <w:t>среднероссийских</w:t>
      </w:r>
      <w:proofErr w:type="spellEnd"/>
      <w:r w:rsidRPr="002F3F9D">
        <w:rPr>
          <w:rFonts w:ascii="Times New Roman" w:hAnsi="Times New Roman" w:cs="Times New Roman"/>
          <w:sz w:val="24"/>
          <w:szCs w:val="24"/>
        </w:rPr>
        <w:t>, что обусловлено как отставанием темпов роста номинальной заработной платы, а также относительным превалированием низкооплачиваемых работников в структуре численности работников организаций (56,2%).</w:t>
      </w:r>
    </w:p>
    <w:p w:rsidR="002F3F9D" w:rsidRPr="002F3F9D" w:rsidRDefault="002F3F9D" w:rsidP="002F3F9D">
      <w:pPr>
        <w:pBdr>
          <w:bottom w:val="single" w:sz="12" w:space="1" w:color="auto"/>
        </w:pBd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Величина прожиточного минимума в среднем на душу населения республики составляет 9145 руб., превышая величину в среднем по Российской Федерации практически на 40% (в РФ - 5688 руб.). В результате принятых мер, номинальная среднемесячная заработная плата в 2010 году составила 28600 руб., в том числе по бюджетной сфере - 23300 руб. или с ростом к предыдущему году на 5,8%.</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По предварительным расчетам, среднемесячная заработная плата в республике в 2012 году прогнозируется в размере 35500 руб.</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 во-вторых, основной составляющей оценки индекса развития человеческого потенциала (ИРЧП) является уровень образованности населения. В Республике Саха (Якутия) индекс образования составляет 0,916 при уровне грамотности взрослого населения в 99% или 12 место по России (индекс образования - это комбинация показателей: уровень грамотности взрослого человека и доля учащихся в возрасте 7-24 лет). По индексу ИРЧП Якутия находится на 19 месте на уровне таких областей, как Новосибирская, Оренбургская, Волгоградская. В Якутии ежегодно вводится по 10 современных зданий школ </w:t>
      </w:r>
      <w:proofErr w:type="gramStart"/>
      <w:r w:rsidRPr="002F3F9D">
        <w:rPr>
          <w:rFonts w:ascii="Times New Roman" w:hAnsi="Times New Roman" w:cs="Times New Roman"/>
          <w:sz w:val="24"/>
          <w:szCs w:val="24"/>
        </w:rPr>
        <w:t>за</w:t>
      </w:r>
      <w:proofErr w:type="gramEnd"/>
      <w:r w:rsidRPr="002F3F9D">
        <w:rPr>
          <w:rFonts w:ascii="Times New Roman" w:hAnsi="Times New Roman" w:cs="Times New Roman"/>
          <w:sz w:val="24"/>
          <w:szCs w:val="24"/>
        </w:rPr>
        <w:t xml:space="preserve"> республиканского бюджета. Однако для того, чтобы закрыть в полном объеме </w:t>
      </w:r>
      <w:r w:rsidRPr="002F3F9D">
        <w:rPr>
          <w:rFonts w:ascii="Times New Roman" w:hAnsi="Times New Roman" w:cs="Times New Roman"/>
          <w:sz w:val="24"/>
          <w:szCs w:val="24"/>
        </w:rPr>
        <w:lastRenderedPageBreak/>
        <w:t xml:space="preserve">потребность в финансовых средствах по решению проблемы ветхих и аварийных школ в республике, а это более 13 млрд. руб., крайне необходима федеральная поддержка. Данный вопрос систематически ставится перед Правительством Российской </w:t>
      </w:r>
      <w:proofErr w:type="spellStart"/>
      <w:r w:rsidRPr="002F3F9D">
        <w:rPr>
          <w:rFonts w:ascii="Times New Roman" w:hAnsi="Times New Roman" w:cs="Times New Roman"/>
          <w:sz w:val="24"/>
          <w:szCs w:val="24"/>
        </w:rPr>
        <w:t>Федерации</w:t>
      </w:r>
      <w:proofErr w:type="gramStart"/>
      <w:r w:rsidRPr="002F3F9D">
        <w:rPr>
          <w:rFonts w:ascii="Times New Roman" w:hAnsi="Times New Roman" w:cs="Times New Roman"/>
          <w:sz w:val="24"/>
          <w:szCs w:val="24"/>
        </w:rPr>
        <w:t>.В</w:t>
      </w:r>
      <w:proofErr w:type="gramEnd"/>
      <w:r w:rsidRPr="002F3F9D">
        <w:rPr>
          <w:rFonts w:ascii="Times New Roman" w:hAnsi="Times New Roman" w:cs="Times New Roman"/>
          <w:sz w:val="24"/>
          <w:szCs w:val="24"/>
        </w:rPr>
        <w:t>опрос</w:t>
      </w:r>
      <w:proofErr w:type="spellEnd"/>
      <w:r w:rsidRPr="002F3F9D">
        <w:rPr>
          <w:rFonts w:ascii="Times New Roman" w:hAnsi="Times New Roman" w:cs="Times New Roman"/>
          <w:sz w:val="24"/>
          <w:szCs w:val="24"/>
        </w:rPr>
        <w:t xml:space="preserve"> недостаточности обеспечения доступа к дошкольному образованию означает определенное неравенство стартовых возможностей для детей. Особенно в республике это характерно для центральных многонаселенных пунктов. В 2010 году на 100 мест в дошкольных учреждениях приходилось 109 детей (в РФ – 106 детей). Сегодня численность студентов вузов республики составляет 492 студента на 10000 чел. населения против 485 студентов в Дальневосточном федеральном округе. По величине данного показателя республика занимает 4 место в РФ. В среднем в профессиональном образовании наблюдается даже превышение аналогичного </w:t>
      </w:r>
      <w:proofErr w:type="spellStart"/>
      <w:r w:rsidRPr="002F3F9D">
        <w:rPr>
          <w:rFonts w:ascii="Times New Roman" w:hAnsi="Times New Roman" w:cs="Times New Roman"/>
          <w:sz w:val="24"/>
          <w:szCs w:val="24"/>
        </w:rPr>
        <w:t>среднероссийского</w:t>
      </w:r>
      <w:proofErr w:type="spellEnd"/>
      <w:r w:rsidRPr="002F3F9D">
        <w:rPr>
          <w:rFonts w:ascii="Times New Roman" w:hAnsi="Times New Roman" w:cs="Times New Roman"/>
          <w:sz w:val="24"/>
          <w:szCs w:val="24"/>
        </w:rPr>
        <w:t xml:space="preserve"> показателя - 185 студентов против 142.</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Основной задачей в модернизации профессионального образования остается дальнейшее его перепрофилирование с учетом потребностей рынка труда. Общей тенденцией развития подготовки кадров до 2030 года станет усиление технической профессиональной ориентации трудовых ресурсов в связи с реализацией крупномасштабных инвестиционных проектов.</w:t>
      </w:r>
    </w:p>
    <w:p w:rsidR="002F3F9D" w:rsidRPr="002F3F9D" w:rsidRDefault="002F3F9D" w:rsidP="002F3F9D">
      <w:pPr>
        <w:spacing w:line="240" w:lineRule="auto"/>
        <w:jc w:val="center"/>
        <w:rPr>
          <w:rFonts w:ascii="Times New Roman" w:hAnsi="Times New Roman" w:cs="Times New Roman"/>
          <w:b/>
          <w:sz w:val="24"/>
          <w:szCs w:val="24"/>
        </w:rPr>
      </w:pPr>
      <w:r w:rsidRPr="002F3F9D">
        <w:rPr>
          <w:rFonts w:ascii="Times New Roman" w:hAnsi="Times New Roman" w:cs="Times New Roman"/>
          <w:b/>
          <w:sz w:val="24"/>
          <w:szCs w:val="24"/>
        </w:rPr>
        <w:t>Заключение</w:t>
      </w:r>
    </w:p>
    <w:p w:rsidR="002F3F9D" w:rsidRPr="002F3F9D" w:rsidRDefault="002F3F9D" w:rsidP="002F3F9D">
      <w:p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исходя из выше изложенного, пришли к следующим выводам:</w:t>
      </w:r>
    </w:p>
    <w:p w:rsidR="002F3F9D" w:rsidRPr="002F3F9D" w:rsidRDefault="002F3F9D" w:rsidP="002F3F9D">
      <w:pPr>
        <w:pStyle w:val="a6"/>
        <w:numPr>
          <w:ilvl w:val="0"/>
          <w:numId w:val="5"/>
        </w:num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за последние годы динамика индекса развития человеческого потенциала в Республике Саха (Якутия) показывает положительную тенденцию роста. Так, по последним данным, Республика Саха (Якутия) вошла в группу развитых регионов России по индексу человеческого потенциала, заняв 19 место.</w:t>
      </w:r>
    </w:p>
    <w:p w:rsidR="002F3F9D" w:rsidRPr="002F3F9D" w:rsidRDefault="002F3F9D" w:rsidP="002F3F9D">
      <w:pPr>
        <w:pStyle w:val="a6"/>
        <w:numPr>
          <w:ilvl w:val="0"/>
          <w:numId w:val="5"/>
        </w:num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имеются специфические факторы, которые влияют на развитие человеческого потенциала на территории Республики Саха (Якутия)</w:t>
      </w:r>
    </w:p>
    <w:p w:rsidR="002F3F9D" w:rsidRPr="002F3F9D" w:rsidRDefault="002F3F9D" w:rsidP="002F3F9D">
      <w:pPr>
        <w:pStyle w:val="a6"/>
        <w:numPr>
          <w:ilvl w:val="0"/>
          <w:numId w:val="5"/>
        </w:numPr>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региональную особенность республики необходимо учитывать в прогнозировании и в стратегическом планировании по развитию региона.</w:t>
      </w:r>
    </w:p>
    <w:p w:rsidR="002F3F9D" w:rsidRDefault="002F3F9D" w:rsidP="002F3F9D">
      <w:pPr>
        <w:pStyle w:val="a6"/>
        <w:spacing w:line="240" w:lineRule="auto"/>
        <w:jc w:val="both"/>
        <w:rPr>
          <w:rFonts w:ascii="Times New Roman" w:hAnsi="Times New Roman" w:cs="Times New Roman"/>
          <w:b/>
          <w:sz w:val="24"/>
          <w:szCs w:val="24"/>
        </w:rPr>
      </w:pPr>
    </w:p>
    <w:p w:rsidR="007D184C" w:rsidRDefault="007D184C" w:rsidP="002F3F9D">
      <w:pPr>
        <w:pStyle w:val="a6"/>
        <w:spacing w:line="240" w:lineRule="auto"/>
        <w:jc w:val="both"/>
        <w:rPr>
          <w:rFonts w:ascii="Times New Roman" w:hAnsi="Times New Roman" w:cs="Times New Roman"/>
          <w:b/>
          <w:sz w:val="24"/>
          <w:szCs w:val="24"/>
        </w:rPr>
      </w:pPr>
    </w:p>
    <w:p w:rsidR="002F3F9D" w:rsidRDefault="002F3F9D" w:rsidP="002F3F9D">
      <w:pPr>
        <w:pStyle w:val="a6"/>
        <w:spacing w:line="240" w:lineRule="auto"/>
        <w:jc w:val="both"/>
        <w:rPr>
          <w:rFonts w:ascii="Times New Roman" w:hAnsi="Times New Roman" w:cs="Times New Roman"/>
          <w:b/>
          <w:sz w:val="24"/>
          <w:szCs w:val="24"/>
        </w:rPr>
      </w:pPr>
      <w:r w:rsidRPr="002F3F9D">
        <w:rPr>
          <w:rFonts w:ascii="Times New Roman" w:hAnsi="Times New Roman" w:cs="Times New Roman"/>
          <w:b/>
          <w:sz w:val="24"/>
          <w:szCs w:val="24"/>
        </w:rPr>
        <w:t>Список использованной литературы:</w:t>
      </w:r>
    </w:p>
    <w:p w:rsidR="007D184C" w:rsidRPr="002F3F9D" w:rsidRDefault="007D184C" w:rsidP="002F3F9D">
      <w:pPr>
        <w:pStyle w:val="a6"/>
        <w:spacing w:line="240" w:lineRule="auto"/>
        <w:jc w:val="both"/>
        <w:rPr>
          <w:rFonts w:ascii="Times New Roman" w:hAnsi="Times New Roman" w:cs="Times New Roman"/>
          <w:b/>
          <w:sz w:val="24"/>
          <w:szCs w:val="24"/>
        </w:rPr>
      </w:pPr>
    </w:p>
    <w:p w:rsidR="002F3F9D" w:rsidRPr="002F3F9D" w:rsidRDefault="007D184C" w:rsidP="002F3F9D">
      <w:pPr>
        <w:pStyle w:val="a6"/>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F3F9D" w:rsidRPr="002F3F9D">
        <w:rPr>
          <w:rFonts w:ascii="Times New Roman" w:hAnsi="Times New Roman" w:cs="Times New Roman"/>
          <w:sz w:val="24"/>
          <w:szCs w:val="24"/>
        </w:rPr>
        <w:t xml:space="preserve">Айвазян С.А. Интегральные показатели качества жизни населения: их построение и использование в социально-экономическом управлении и межрегиональных сопоставлениях. М.: ЦЭМИ РАН, 2000. – 118 </w:t>
      </w:r>
      <w:proofErr w:type="gramStart"/>
      <w:r w:rsidR="002F3F9D" w:rsidRPr="002F3F9D">
        <w:rPr>
          <w:rFonts w:ascii="Times New Roman" w:hAnsi="Times New Roman" w:cs="Times New Roman"/>
          <w:sz w:val="24"/>
          <w:szCs w:val="24"/>
        </w:rPr>
        <w:t>с</w:t>
      </w:r>
      <w:proofErr w:type="gramEnd"/>
      <w:r w:rsidR="002F3F9D" w:rsidRPr="002F3F9D">
        <w:rPr>
          <w:rFonts w:ascii="Times New Roman" w:hAnsi="Times New Roman" w:cs="Times New Roman"/>
          <w:sz w:val="24"/>
          <w:szCs w:val="24"/>
        </w:rPr>
        <w:t>.</w:t>
      </w:r>
    </w:p>
    <w:p w:rsidR="002F3F9D" w:rsidRPr="002F3F9D" w:rsidRDefault="002F3F9D" w:rsidP="002F3F9D">
      <w:pPr>
        <w:pStyle w:val="a6"/>
        <w:spacing w:line="240"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2.   Доклады о развитии человека за 1997-2000 гг. Нью-Йорк, Оксфорд: Оксфорд </w:t>
      </w:r>
      <w:proofErr w:type="spellStart"/>
      <w:r w:rsidRPr="002F3F9D">
        <w:rPr>
          <w:rFonts w:ascii="Times New Roman" w:hAnsi="Times New Roman" w:cs="Times New Roman"/>
          <w:sz w:val="24"/>
          <w:szCs w:val="24"/>
        </w:rPr>
        <w:t>юниверсити</w:t>
      </w:r>
      <w:proofErr w:type="spellEnd"/>
      <w:r w:rsidRPr="002F3F9D">
        <w:rPr>
          <w:rFonts w:ascii="Times New Roman" w:hAnsi="Times New Roman" w:cs="Times New Roman"/>
          <w:sz w:val="24"/>
          <w:szCs w:val="24"/>
        </w:rPr>
        <w:t xml:space="preserve"> пресс.</w:t>
      </w:r>
    </w:p>
    <w:p w:rsidR="002F3F9D" w:rsidRPr="002F3F9D" w:rsidRDefault="002F3F9D" w:rsidP="002F3F9D">
      <w:pPr>
        <w:pStyle w:val="a6"/>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2F3F9D">
        <w:rPr>
          <w:rFonts w:ascii="Times New Roman" w:hAnsi="Times New Roman" w:cs="Times New Roman"/>
          <w:sz w:val="24"/>
          <w:szCs w:val="24"/>
        </w:rPr>
        <w:t>.     Доклад о развитии человеческого потенциала в Российской Федерации.  Год 1998</w:t>
      </w:r>
      <w:proofErr w:type="gramStart"/>
      <w:r w:rsidRPr="002F3F9D">
        <w:rPr>
          <w:rFonts w:ascii="Times New Roman" w:hAnsi="Times New Roman" w:cs="Times New Roman"/>
          <w:sz w:val="24"/>
          <w:szCs w:val="24"/>
        </w:rPr>
        <w:t xml:space="preserve"> / П</w:t>
      </w:r>
      <w:proofErr w:type="gramEnd"/>
      <w:r w:rsidRPr="002F3F9D">
        <w:rPr>
          <w:rFonts w:ascii="Times New Roman" w:hAnsi="Times New Roman" w:cs="Times New Roman"/>
          <w:sz w:val="24"/>
          <w:szCs w:val="24"/>
        </w:rPr>
        <w:t>од общей редакцией проф. Ю.Е. Федорова. М: Права человека, 1998. – 140 с.: табл., рис., карты.</w:t>
      </w:r>
    </w:p>
    <w:p w:rsidR="002F3F9D" w:rsidRPr="002F3F9D" w:rsidRDefault="002F3F9D" w:rsidP="002F3F9D">
      <w:pPr>
        <w:pStyle w:val="a6"/>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2F3F9D">
        <w:rPr>
          <w:rFonts w:ascii="Times New Roman" w:hAnsi="Times New Roman" w:cs="Times New Roman"/>
          <w:sz w:val="24"/>
          <w:szCs w:val="24"/>
        </w:rPr>
        <w:t xml:space="preserve">.  Протокол видеоконференции «Народный фронт за народный бюджет»» </w:t>
      </w:r>
    </w:p>
    <w:p w:rsidR="002F3F9D" w:rsidRPr="002F3F9D" w:rsidRDefault="002F3F9D" w:rsidP="002F3F9D">
      <w:pPr>
        <w:pStyle w:val="a6"/>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2F3F9D">
        <w:rPr>
          <w:rFonts w:ascii="Times New Roman" w:hAnsi="Times New Roman" w:cs="Times New Roman"/>
          <w:sz w:val="24"/>
          <w:szCs w:val="24"/>
        </w:rPr>
        <w:t xml:space="preserve">. Прогноз социально-экономического развития Республики Саха (Якутия) на 2012 год и на период до 2016 годы </w:t>
      </w:r>
    </w:p>
    <w:p w:rsidR="002F3F9D" w:rsidRPr="002F3F9D" w:rsidRDefault="002F3F9D" w:rsidP="002F3F9D">
      <w:pPr>
        <w:spacing w:line="240" w:lineRule="auto"/>
        <w:jc w:val="both"/>
        <w:rPr>
          <w:rFonts w:ascii="Times New Roman" w:hAnsi="Times New Roman" w:cs="Times New Roman"/>
          <w:sz w:val="24"/>
          <w:szCs w:val="24"/>
        </w:rPr>
      </w:pPr>
    </w:p>
    <w:p w:rsidR="00050C01" w:rsidRPr="002F3F9D" w:rsidRDefault="00050C01" w:rsidP="002F3F9D">
      <w:pPr>
        <w:tabs>
          <w:tab w:val="left" w:pos="1695"/>
        </w:tabs>
        <w:spacing w:line="240" w:lineRule="auto"/>
        <w:rPr>
          <w:rFonts w:ascii="Times New Roman" w:hAnsi="Times New Roman" w:cs="Times New Roman"/>
          <w:sz w:val="24"/>
          <w:szCs w:val="24"/>
        </w:rPr>
      </w:pPr>
    </w:p>
    <w:sectPr w:rsidR="00050C01" w:rsidRPr="002F3F9D" w:rsidSect="00AD5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0F25"/>
    <w:multiLevelType w:val="hybridMultilevel"/>
    <w:tmpl w:val="C4F0B264"/>
    <w:lvl w:ilvl="0" w:tplc="355E9F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4E4CE0"/>
    <w:multiLevelType w:val="multilevel"/>
    <w:tmpl w:val="ED127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A5FC3"/>
    <w:multiLevelType w:val="hybridMultilevel"/>
    <w:tmpl w:val="306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FE34A0"/>
    <w:multiLevelType w:val="multilevel"/>
    <w:tmpl w:val="478EA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D06631"/>
    <w:multiLevelType w:val="multilevel"/>
    <w:tmpl w:val="6D887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C92"/>
    <w:rsid w:val="00050C01"/>
    <w:rsid w:val="000F443D"/>
    <w:rsid w:val="002A33AE"/>
    <w:rsid w:val="002F3F9D"/>
    <w:rsid w:val="007D184C"/>
    <w:rsid w:val="0091335F"/>
    <w:rsid w:val="00AC07B5"/>
    <w:rsid w:val="00AD54F0"/>
    <w:rsid w:val="00B01C92"/>
    <w:rsid w:val="00B62D0F"/>
    <w:rsid w:val="00D41CF6"/>
    <w:rsid w:val="00EF639E"/>
    <w:rsid w:val="00E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C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41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CF6"/>
    <w:rPr>
      <w:rFonts w:ascii="Tahoma" w:hAnsi="Tahoma" w:cs="Tahoma"/>
      <w:sz w:val="16"/>
      <w:szCs w:val="16"/>
    </w:rPr>
  </w:style>
  <w:style w:type="paragraph" w:styleId="a6">
    <w:name w:val="List Paragraph"/>
    <w:basedOn w:val="a"/>
    <w:uiPriority w:val="34"/>
    <w:qFormat/>
    <w:rsid w:val="00D41CF6"/>
    <w:pPr>
      <w:ind w:left="720"/>
      <w:contextualSpacing/>
    </w:pPr>
  </w:style>
  <w:style w:type="character" w:styleId="a7">
    <w:name w:val="Hyperlink"/>
    <w:basedOn w:val="a0"/>
    <w:uiPriority w:val="99"/>
    <w:unhideWhenUsed/>
    <w:rsid w:val="00D41C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kha.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hotlaw/yakut/3582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ditenergy.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4523-0250-446C-9D1D-E2C42380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5349</Words>
  <Characters>30492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2012-02-13T01:11:00Z</dcterms:created>
  <dcterms:modified xsi:type="dcterms:W3CDTF">2012-03-06T23:43:00Z</dcterms:modified>
</cp:coreProperties>
</file>